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659" w:rsidRPr="0095145B" w:rsidRDefault="00AC4659">
      <w:pPr>
        <w:pStyle w:val="BodyText"/>
        <w:rPr>
          <w:rFonts w:ascii="Times New Roman"/>
          <w:sz w:val="21"/>
          <w:lang w:val="en-GB"/>
        </w:rPr>
      </w:pPr>
    </w:p>
    <w:p w:rsidR="00AC4659" w:rsidRDefault="00AC4659">
      <w:pPr>
        <w:pStyle w:val="Title"/>
      </w:pPr>
      <w:r>
        <w:rPr>
          <w:color w:val="252525"/>
        </w:rPr>
        <w:t>Call for</w:t>
      </w:r>
      <w:r>
        <w:rPr>
          <w:color w:val="252525"/>
          <w:spacing w:val="-6"/>
        </w:rPr>
        <w:t xml:space="preserve"> </w:t>
      </w:r>
      <w:r>
        <w:rPr>
          <w:color w:val="252525"/>
        </w:rPr>
        <w:t>Evidence:</w:t>
      </w:r>
    </w:p>
    <w:p w:rsidR="00AC4659" w:rsidRDefault="00AC4659">
      <w:pPr>
        <w:spacing w:before="57"/>
        <w:ind w:left="3539" w:right="3527"/>
        <w:jc w:val="center"/>
        <w:rPr>
          <w:sz w:val="32"/>
        </w:rPr>
      </w:pPr>
      <w:r>
        <w:rPr>
          <w:color w:val="252525"/>
          <w:sz w:val="32"/>
        </w:rPr>
        <w:t>Comprehensive Spending Review</w:t>
      </w:r>
    </w:p>
    <w:p w:rsidR="00AC4659" w:rsidRDefault="00AC4659">
      <w:pPr>
        <w:pStyle w:val="BodyText"/>
        <w:spacing w:before="6"/>
        <w:rPr>
          <w:sz w:val="41"/>
        </w:rPr>
      </w:pPr>
    </w:p>
    <w:p w:rsidR="00AC4659" w:rsidRDefault="00AC4659">
      <w:pPr>
        <w:pStyle w:val="BodyText"/>
        <w:tabs>
          <w:tab w:val="left" w:pos="835"/>
        </w:tabs>
        <w:ind w:left="115"/>
      </w:pPr>
      <w:r>
        <w:rPr>
          <w:b/>
          <w:color w:val="252525"/>
        </w:rPr>
        <w:t>To:</w:t>
      </w:r>
      <w:r>
        <w:rPr>
          <w:b/>
          <w:color w:val="252525"/>
        </w:rPr>
        <w:tab/>
      </w:r>
      <w:r>
        <w:rPr>
          <w:color w:val="252525"/>
        </w:rPr>
        <w:t>HM Treasury</w:t>
      </w:r>
    </w:p>
    <w:p w:rsidR="00AC4659" w:rsidRDefault="00AC4659">
      <w:pPr>
        <w:pStyle w:val="BodyText"/>
        <w:spacing w:before="2"/>
        <w:rPr>
          <w:sz w:val="31"/>
        </w:rPr>
      </w:pPr>
    </w:p>
    <w:p w:rsidR="00AC4659" w:rsidRDefault="00AC4659">
      <w:pPr>
        <w:pStyle w:val="BodyText"/>
        <w:tabs>
          <w:tab w:val="left" w:pos="835"/>
        </w:tabs>
        <w:ind w:left="115"/>
      </w:pPr>
      <w:r>
        <w:rPr>
          <w:b/>
          <w:color w:val="252525"/>
        </w:rPr>
        <w:t>By:</w:t>
      </w:r>
      <w:r>
        <w:rPr>
          <w:b/>
          <w:color w:val="252525"/>
        </w:rPr>
        <w:tab/>
      </w:r>
      <w:r>
        <w:rPr>
          <w:color w:val="252525"/>
        </w:rPr>
        <w:t>The Intergenerational</w:t>
      </w:r>
      <w:r>
        <w:rPr>
          <w:color w:val="252525"/>
          <w:spacing w:val="-3"/>
        </w:rPr>
        <w:t xml:space="preserve"> </w:t>
      </w:r>
      <w:r>
        <w:rPr>
          <w:color w:val="252525"/>
        </w:rPr>
        <w:t>Foundation</w:t>
      </w:r>
    </w:p>
    <w:p w:rsidR="00AC4659" w:rsidRDefault="00AC4659">
      <w:pPr>
        <w:pStyle w:val="BodyText"/>
        <w:spacing w:before="3"/>
        <w:rPr>
          <w:sz w:val="31"/>
        </w:rPr>
      </w:pPr>
    </w:p>
    <w:p w:rsidR="00AC4659" w:rsidRDefault="00AC4659">
      <w:pPr>
        <w:ind w:left="115"/>
        <w:rPr>
          <w:sz w:val="24"/>
        </w:rPr>
      </w:pPr>
      <w:r>
        <w:rPr>
          <w:b/>
          <w:color w:val="252525"/>
          <w:sz w:val="24"/>
        </w:rPr>
        <w:t>Date:</w:t>
      </w:r>
      <w:r>
        <w:rPr>
          <w:b/>
          <w:color w:val="252525"/>
          <w:sz w:val="24"/>
        </w:rPr>
        <w:tab/>
        <w:t xml:space="preserve">  </w:t>
      </w:r>
      <w:r>
        <w:rPr>
          <w:color w:val="252525"/>
          <w:sz w:val="24"/>
        </w:rPr>
        <w:t>17 September 2020</w:t>
      </w:r>
    </w:p>
    <w:p w:rsidR="00AC4659" w:rsidRDefault="00AC4659">
      <w:pPr>
        <w:pStyle w:val="BodyText"/>
        <w:rPr>
          <w:sz w:val="26"/>
        </w:rPr>
      </w:pPr>
    </w:p>
    <w:p w:rsidR="00AC4659" w:rsidRDefault="00AC4659">
      <w:pPr>
        <w:pStyle w:val="BodyText"/>
        <w:spacing w:before="1"/>
        <w:rPr>
          <w:sz w:val="33"/>
        </w:rPr>
      </w:pPr>
    </w:p>
    <w:p w:rsidR="00AC4659" w:rsidRDefault="00AC4659">
      <w:pPr>
        <w:pStyle w:val="BodyText"/>
        <w:spacing w:line="276" w:lineRule="auto"/>
        <w:ind w:left="115" w:right="102"/>
        <w:jc w:val="both"/>
      </w:pPr>
      <w:r>
        <w:rPr>
          <w:color w:val="252525"/>
        </w:rPr>
        <w:t>The Intergenerational Foundation (</w:t>
      </w:r>
      <w:hyperlink r:id="rId7">
        <w:r>
          <w:rPr>
            <w:color w:val="0000FF"/>
          </w:rPr>
          <w:t>www.if.org.uk</w:t>
        </w:r>
      </w:hyperlink>
      <w:r>
        <w:rPr>
          <w:color w:val="252525"/>
        </w:rPr>
        <w:t>) is an independent think tank researching fairness between generations. IF believes policy should be fair to all – the old, the young and those to come.</w:t>
      </w:r>
    </w:p>
    <w:p w:rsidR="00AC4659" w:rsidRDefault="00AC4659">
      <w:pPr>
        <w:pStyle w:val="BodyText"/>
        <w:spacing w:before="8"/>
        <w:rPr>
          <w:sz w:val="27"/>
        </w:rPr>
      </w:pPr>
    </w:p>
    <w:p w:rsidR="00AC4659" w:rsidRDefault="00AC4659">
      <w:pPr>
        <w:pStyle w:val="Heading1"/>
        <w:ind w:left="115" w:firstLine="0"/>
      </w:pPr>
      <w:r>
        <w:rPr>
          <w:color w:val="252525"/>
        </w:rPr>
        <w:t>Introduction</w:t>
      </w:r>
    </w:p>
    <w:p w:rsidR="00AC4659" w:rsidRDefault="00AC4659">
      <w:pPr>
        <w:pStyle w:val="BodyText"/>
        <w:spacing w:before="39" w:line="276" w:lineRule="auto"/>
        <w:ind w:left="115" w:right="110"/>
        <w:jc w:val="both"/>
      </w:pPr>
      <w:r>
        <w:rPr>
          <w:color w:val="252525"/>
        </w:rPr>
        <w:t>As</w:t>
      </w:r>
      <w:r>
        <w:rPr>
          <w:color w:val="252525"/>
          <w:spacing w:val="-7"/>
        </w:rPr>
        <w:t xml:space="preserve"> </w:t>
      </w:r>
      <w:r>
        <w:rPr>
          <w:color w:val="252525"/>
        </w:rPr>
        <w:t>IF</w:t>
      </w:r>
      <w:r>
        <w:rPr>
          <w:color w:val="252525"/>
          <w:spacing w:val="-3"/>
        </w:rPr>
        <w:t xml:space="preserve"> </w:t>
      </w:r>
      <w:r>
        <w:rPr>
          <w:color w:val="252525"/>
        </w:rPr>
        <w:t>is</w:t>
      </w:r>
      <w:r>
        <w:rPr>
          <w:color w:val="252525"/>
          <w:spacing w:val="-1"/>
        </w:rPr>
        <w:t xml:space="preserve"> </w:t>
      </w:r>
      <w:r>
        <w:rPr>
          <w:color w:val="252525"/>
        </w:rPr>
        <w:t>the</w:t>
      </w:r>
      <w:r>
        <w:rPr>
          <w:color w:val="252525"/>
          <w:spacing w:val="-5"/>
        </w:rPr>
        <w:t xml:space="preserve"> </w:t>
      </w:r>
      <w:r>
        <w:rPr>
          <w:color w:val="252525"/>
        </w:rPr>
        <w:t>UK’s</w:t>
      </w:r>
      <w:r>
        <w:rPr>
          <w:color w:val="252525"/>
          <w:spacing w:val="-6"/>
        </w:rPr>
        <w:t xml:space="preserve"> </w:t>
      </w:r>
      <w:r>
        <w:rPr>
          <w:color w:val="252525"/>
        </w:rPr>
        <w:t>leading</w:t>
      </w:r>
      <w:r>
        <w:rPr>
          <w:color w:val="252525"/>
          <w:spacing w:val="-6"/>
        </w:rPr>
        <w:t xml:space="preserve"> </w:t>
      </w:r>
      <w:r>
        <w:rPr>
          <w:color w:val="252525"/>
        </w:rPr>
        <w:t>think</w:t>
      </w:r>
      <w:r>
        <w:rPr>
          <w:color w:val="252525"/>
          <w:spacing w:val="-6"/>
        </w:rPr>
        <w:t xml:space="preserve"> </w:t>
      </w:r>
      <w:r>
        <w:rPr>
          <w:color w:val="252525"/>
        </w:rPr>
        <w:t>tank</w:t>
      </w:r>
      <w:r>
        <w:rPr>
          <w:color w:val="252525"/>
          <w:spacing w:val="-2"/>
        </w:rPr>
        <w:t xml:space="preserve"> </w:t>
      </w:r>
      <w:r>
        <w:rPr>
          <w:color w:val="252525"/>
        </w:rPr>
        <w:t>which</w:t>
      </w:r>
      <w:r>
        <w:rPr>
          <w:color w:val="252525"/>
          <w:spacing w:val="-5"/>
        </w:rPr>
        <w:t xml:space="preserve"> </w:t>
      </w:r>
      <w:r>
        <w:rPr>
          <w:color w:val="252525"/>
        </w:rPr>
        <w:t>exists</w:t>
      </w:r>
      <w:r>
        <w:rPr>
          <w:color w:val="252525"/>
          <w:spacing w:val="-6"/>
        </w:rPr>
        <w:t xml:space="preserve"> </w:t>
      </w:r>
      <w:r>
        <w:rPr>
          <w:color w:val="252525"/>
        </w:rPr>
        <w:t>to</w:t>
      </w:r>
      <w:r>
        <w:rPr>
          <w:color w:val="252525"/>
          <w:spacing w:val="-6"/>
        </w:rPr>
        <w:t xml:space="preserve"> </w:t>
      </w:r>
      <w:r>
        <w:rPr>
          <w:color w:val="252525"/>
        </w:rPr>
        <w:t>promote</w:t>
      </w:r>
      <w:r>
        <w:rPr>
          <w:color w:val="252525"/>
          <w:spacing w:val="-5"/>
        </w:rPr>
        <w:t xml:space="preserve"> </w:t>
      </w:r>
      <w:r>
        <w:rPr>
          <w:color w:val="252525"/>
        </w:rPr>
        <w:t>the</w:t>
      </w:r>
      <w:r>
        <w:rPr>
          <w:color w:val="252525"/>
          <w:spacing w:val="-5"/>
        </w:rPr>
        <w:t xml:space="preserve"> </w:t>
      </w:r>
      <w:r>
        <w:rPr>
          <w:color w:val="252525"/>
        </w:rPr>
        <w:t>rights</w:t>
      </w:r>
      <w:r>
        <w:rPr>
          <w:color w:val="252525"/>
          <w:spacing w:val="-6"/>
        </w:rPr>
        <w:t xml:space="preserve"> </w:t>
      </w:r>
      <w:r>
        <w:rPr>
          <w:color w:val="252525"/>
        </w:rPr>
        <w:t>of</w:t>
      </w:r>
      <w:r>
        <w:rPr>
          <w:color w:val="252525"/>
          <w:spacing w:val="-3"/>
        </w:rPr>
        <w:t xml:space="preserve"> </w:t>
      </w:r>
      <w:r>
        <w:rPr>
          <w:color w:val="252525"/>
        </w:rPr>
        <w:t>younger</w:t>
      </w:r>
      <w:r>
        <w:rPr>
          <w:color w:val="252525"/>
          <w:spacing w:val="-7"/>
        </w:rPr>
        <w:t xml:space="preserve"> </w:t>
      </w:r>
      <w:r>
        <w:rPr>
          <w:color w:val="252525"/>
        </w:rPr>
        <w:t>and</w:t>
      </w:r>
      <w:r>
        <w:rPr>
          <w:color w:val="252525"/>
          <w:spacing w:val="-5"/>
        </w:rPr>
        <w:t xml:space="preserve"> </w:t>
      </w:r>
      <w:r>
        <w:rPr>
          <w:color w:val="252525"/>
        </w:rPr>
        <w:t>future generations, we think that reducing intergenerational inequalities and getting a fairer deal for</w:t>
      </w:r>
      <w:r>
        <w:rPr>
          <w:color w:val="252525"/>
          <w:spacing w:val="-7"/>
        </w:rPr>
        <w:t xml:space="preserve"> </w:t>
      </w:r>
      <w:r>
        <w:rPr>
          <w:color w:val="252525"/>
        </w:rPr>
        <w:t>younger</w:t>
      </w:r>
      <w:r>
        <w:rPr>
          <w:color w:val="252525"/>
          <w:spacing w:val="-6"/>
        </w:rPr>
        <w:t xml:space="preserve"> </w:t>
      </w:r>
      <w:r>
        <w:rPr>
          <w:color w:val="252525"/>
        </w:rPr>
        <w:t>and</w:t>
      </w:r>
      <w:r>
        <w:rPr>
          <w:color w:val="252525"/>
          <w:spacing w:val="-5"/>
        </w:rPr>
        <w:t xml:space="preserve"> </w:t>
      </w:r>
      <w:r>
        <w:rPr>
          <w:color w:val="252525"/>
        </w:rPr>
        <w:t>future</w:t>
      </w:r>
      <w:r>
        <w:rPr>
          <w:color w:val="252525"/>
          <w:spacing w:val="-5"/>
        </w:rPr>
        <w:t xml:space="preserve"> </w:t>
      </w:r>
      <w:r>
        <w:rPr>
          <w:color w:val="252525"/>
        </w:rPr>
        <w:t>generations</w:t>
      </w:r>
      <w:r>
        <w:rPr>
          <w:color w:val="252525"/>
          <w:spacing w:val="-6"/>
        </w:rPr>
        <w:t xml:space="preserve"> </w:t>
      </w:r>
      <w:r>
        <w:rPr>
          <w:color w:val="252525"/>
        </w:rPr>
        <w:t>should</w:t>
      </w:r>
      <w:r>
        <w:rPr>
          <w:color w:val="252525"/>
          <w:spacing w:val="-5"/>
        </w:rPr>
        <w:t xml:space="preserve"> </w:t>
      </w:r>
      <w:r>
        <w:rPr>
          <w:color w:val="252525"/>
        </w:rPr>
        <w:t>be</w:t>
      </w:r>
      <w:r>
        <w:rPr>
          <w:color w:val="252525"/>
          <w:spacing w:val="-6"/>
        </w:rPr>
        <w:t xml:space="preserve"> </w:t>
      </w:r>
      <w:r>
        <w:rPr>
          <w:color w:val="252525"/>
        </w:rPr>
        <w:t>one</w:t>
      </w:r>
      <w:r>
        <w:rPr>
          <w:color w:val="252525"/>
          <w:spacing w:val="-5"/>
        </w:rPr>
        <w:t xml:space="preserve"> </w:t>
      </w:r>
      <w:r>
        <w:rPr>
          <w:color w:val="252525"/>
        </w:rPr>
        <w:t>of</w:t>
      </w:r>
      <w:r>
        <w:rPr>
          <w:color w:val="252525"/>
          <w:spacing w:val="-8"/>
        </w:rPr>
        <w:t xml:space="preserve"> </w:t>
      </w:r>
      <w:r>
        <w:rPr>
          <w:color w:val="252525"/>
        </w:rPr>
        <w:t>the</w:t>
      </w:r>
      <w:r>
        <w:rPr>
          <w:color w:val="252525"/>
          <w:spacing w:val="-5"/>
        </w:rPr>
        <w:t xml:space="preserve"> </w:t>
      </w:r>
      <w:r>
        <w:rPr>
          <w:color w:val="252525"/>
        </w:rPr>
        <w:t>main</w:t>
      </w:r>
      <w:r>
        <w:rPr>
          <w:color w:val="252525"/>
          <w:spacing w:val="-5"/>
        </w:rPr>
        <w:t xml:space="preserve"> </w:t>
      </w:r>
      <w:r>
        <w:rPr>
          <w:color w:val="252525"/>
        </w:rPr>
        <w:t>aims</w:t>
      </w:r>
      <w:r>
        <w:rPr>
          <w:color w:val="252525"/>
          <w:spacing w:val="-6"/>
        </w:rPr>
        <w:t xml:space="preserve"> </w:t>
      </w:r>
      <w:r>
        <w:rPr>
          <w:color w:val="252525"/>
        </w:rPr>
        <w:t>of</w:t>
      </w:r>
      <w:r>
        <w:rPr>
          <w:color w:val="252525"/>
          <w:spacing w:val="-4"/>
        </w:rPr>
        <w:t xml:space="preserve"> </w:t>
      </w:r>
      <w:r>
        <w:rPr>
          <w:color w:val="252525"/>
        </w:rPr>
        <w:t>the</w:t>
      </w:r>
      <w:r>
        <w:rPr>
          <w:color w:val="252525"/>
          <w:spacing w:val="-5"/>
        </w:rPr>
        <w:t xml:space="preserve"> </w:t>
      </w:r>
      <w:r>
        <w:rPr>
          <w:color w:val="252525"/>
        </w:rPr>
        <w:t>UK’s</w:t>
      </w:r>
      <w:r>
        <w:rPr>
          <w:color w:val="252525"/>
          <w:spacing w:val="-6"/>
        </w:rPr>
        <w:t xml:space="preserve"> </w:t>
      </w:r>
      <w:r>
        <w:rPr>
          <w:color w:val="252525"/>
        </w:rPr>
        <w:t>post-COVID recovery.</w:t>
      </w:r>
    </w:p>
    <w:p w:rsidR="00AC4659" w:rsidRDefault="00AC4659">
      <w:pPr>
        <w:pStyle w:val="BodyText"/>
        <w:spacing w:before="5"/>
        <w:rPr>
          <w:sz w:val="27"/>
        </w:rPr>
      </w:pPr>
    </w:p>
    <w:p w:rsidR="00AC4659" w:rsidRDefault="00AC4659">
      <w:pPr>
        <w:pStyle w:val="BodyText"/>
        <w:spacing w:line="276" w:lineRule="auto"/>
        <w:ind w:left="115" w:right="102"/>
        <w:jc w:val="both"/>
      </w:pPr>
      <w:r>
        <w:rPr>
          <w:color w:val="252525"/>
        </w:rPr>
        <w:t xml:space="preserve">This is particularly important because there is now clear evidence which suggests that this crisis has affected different generations in the UK in distinct ways: whereas older people have been far more vulnerable to becoming seriously ill from, and dying with, COVID-19, younger adults have so far borne the brunt of the economic hardship which the crisis has caused. The distinct ways in which the COVID-19 crisis has affected different age groups means that government support measures which are intended to help </w:t>
      </w:r>
      <w:r>
        <w:rPr>
          <w:color w:val="252525"/>
          <w:spacing w:val="2"/>
        </w:rPr>
        <w:t xml:space="preserve">the </w:t>
      </w:r>
      <w:r>
        <w:rPr>
          <w:color w:val="252525"/>
        </w:rPr>
        <w:t>UK recover from the</w:t>
      </w:r>
      <w:r>
        <w:rPr>
          <w:color w:val="252525"/>
          <w:spacing w:val="-6"/>
        </w:rPr>
        <w:t xml:space="preserve"> </w:t>
      </w:r>
      <w:r>
        <w:rPr>
          <w:color w:val="252525"/>
        </w:rPr>
        <w:t>crisis</w:t>
      </w:r>
      <w:r>
        <w:rPr>
          <w:color w:val="252525"/>
          <w:spacing w:val="-6"/>
        </w:rPr>
        <w:t xml:space="preserve"> </w:t>
      </w:r>
      <w:r>
        <w:rPr>
          <w:color w:val="252525"/>
        </w:rPr>
        <w:t>will</w:t>
      </w:r>
      <w:r>
        <w:rPr>
          <w:color w:val="252525"/>
          <w:spacing w:val="-5"/>
        </w:rPr>
        <w:t xml:space="preserve"> </w:t>
      </w:r>
      <w:r>
        <w:rPr>
          <w:color w:val="252525"/>
        </w:rPr>
        <w:t>need</w:t>
      </w:r>
      <w:r>
        <w:rPr>
          <w:color w:val="252525"/>
          <w:spacing w:val="-6"/>
        </w:rPr>
        <w:t xml:space="preserve"> </w:t>
      </w:r>
      <w:r>
        <w:rPr>
          <w:color w:val="252525"/>
        </w:rPr>
        <w:t>to</w:t>
      </w:r>
      <w:r>
        <w:rPr>
          <w:color w:val="252525"/>
          <w:spacing w:val="-5"/>
        </w:rPr>
        <w:t xml:space="preserve"> </w:t>
      </w:r>
      <w:r>
        <w:rPr>
          <w:color w:val="252525"/>
        </w:rPr>
        <w:t>be</w:t>
      </w:r>
      <w:r>
        <w:rPr>
          <w:color w:val="252525"/>
          <w:spacing w:val="-5"/>
        </w:rPr>
        <w:t xml:space="preserve"> </w:t>
      </w:r>
      <w:r>
        <w:rPr>
          <w:color w:val="252525"/>
        </w:rPr>
        <w:t>targeted</w:t>
      </w:r>
      <w:r>
        <w:rPr>
          <w:color w:val="252525"/>
          <w:spacing w:val="-5"/>
        </w:rPr>
        <w:t xml:space="preserve"> </w:t>
      </w:r>
      <w:r>
        <w:rPr>
          <w:color w:val="252525"/>
        </w:rPr>
        <w:t>at</w:t>
      </w:r>
      <w:r>
        <w:rPr>
          <w:color w:val="252525"/>
          <w:spacing w:val="-9"/>
        </w:rPr>
        <w:t xml:space="preserve"> </w:t>
      </w:r>
      <w:r>
        <w:rPr>
          <w:color w:val="252525"/>
        </w:rPr>
        <w:t>different</w:t>
      </w:r>
      <w:r>
        <w:rPr>
          <w:color w:val="252525"/>
          <w:spacing w:val="-8"/>
        </w:rPr>
        <w:t xml:space="preserve"> </w:t>
      </w:r>
      <w:r>
        <w:rPr>
          <w:color w:val="252525"/>
        </w:rPr>
        <w:t>groups</w:t>
      </w:r>
      <w:r>
        <w:rPr>
          <w:color w:val="252525"/>
          <w:spacing w:val="-6"/>
        </w:rPr>
        <w:t xml:space="preserve"> </w:t>
      </w:r>
      <w:r>
        <w:rPr>
          <w:color w:val="252525"/>
        </w:rPr>
        <w:t>in</w:t>
      </w:r>
      <w:r>
        <w:rPr>
          <w:color w:val="252525"/>
          <w:spacing w:val="-6"/>
        </w:rPr>
        <w:t xml:space="preserve"> </w:t>
      </w:r>
      <w:r>
        <w:rPr>
          <w:color w:val="252525"/>
        </w:rPr>
        <w:t>a</w:t>
      </w:r>
      <w:r>
        <w:rPr>
          <w:color w:val="252525"/>
          <w:spacing w:val="-5"/>
        </w:rPr>
        <w:t xml:space="preserve"> </w:t>
      </w:r>
      <w:r>
        <w:rPr>
          <w:color w:val="252525"/>
        </w:rPr>
        <w:t>nuanced</w:t>
      </w:r>
      <w:r>
        <w:rPr>
          <w:color w:val="252525"/>
          <w:spacing w:val="-5"/>
        </w:rPr>
        <w:t xml:space="preserve"> </w:t>
      </w:r>
      <w:r>
        <w:rPr>
          <w:color w:val="252525"/>
        </w:rPr>
        <w:t>way</w:t>
      </w:r>
      <w:r>
        <w:rPr>
          <w:color w:val="252525"/>
          <w:spacing w:val="-7"/>
        </w:rPr>
        <w:t xml:space="preserve"> </w:t>
      </w:r>
      <w:r>
        <w:rPr>
          <w:color w:val="252525"/>
        </w:rPr>
        <w:t>in</w:t>
      </w:r>
      <w:r>
        <w:rPr>
          <w:color w:val="252525"/>
          <w:spacing w:val="-5"/>
        </w:rPr>
        <w:t xml:space="preserve"> </w:t>
      </w:r>
      <w:r>
        <w:rPr>
          <w:color w:val="252525"/>
        </w:rPr>
        <w:t>order</w:t>
      </w:r>
      <w:r>
        <w:rPr>
          <w:color w:val="252525"/>
          <w:spacing w:val="-6"/>
        </w:rPr>
        <w:t xml:space="preserve"> </w:t>
      </w:r>
      <w:r>
        <w:rPr>
          <w:color w:val="252525"/>
        </w:rPr>
        <w:t>to</w:t>
      </w:r>
      <w:r>
        <w:rPr>
          <w:color w:val="252525"/>
          <w:spacing w:val="-5"/>
        </w:rPr>
        <w:t xml:space="preserve"> </w:t>
      </w:r>
      <w:r>
        <w:rPr>
          <w:color w:val="252525"/>
        </w:rPr>
        <w:t>have</w:t>
      </w:r>
      <w:r>
        <w:rPr>
          <w:color w:val="252525"/>
          <w:spacing w:val="-6"/>
        </w:rPr>
        <w:t xml:space="preserve"> </w:t>
      </w:r>
      <w:r>
        <w:rPr>
          <w:color w:val="252525"/>
        </w:rPr>
        <w:t>their desired</w:t>
      </w:r>
      <w:r>
        <w:rPr>
          <w:color w:val="252525"/>
          <w:spacing w:val="-2"/>
        </w:rPr>
        <w:t xml:space="preserve"> </w:t>
      </w:r>
      <w:r>
        <w:rPr>
          <w:color w:val="252525"/>
        </w:rPr>
        <w:t>effect.</w:t>
      </w:r>
    </w:p>
    <w:p w:rsidR="00AC4659" w:rsidRDefault="00AC4659">
      <w:pPr>
        <w:pStyle w:val="BodyText"/>
        <w:rPr>
          <w:sz w:val="28"/>
        </w:rPr>
      </w:pPr>
    </w:p>
    <w:p w:rsidR="00AC4659" w:rsidRDefault="00AC4659">
      <w:pPr>
        <w:pStyle w:val="BodyText"/>
        <w:spacing w:line="276" w:lineRule="auto"/>
        <w:ind w:left="115" w:right="109"/>
        <w:jc w:val="both"/>
      </w:pPr>
      <w:r>
        <w:rPr>
          <w:color w:val="252525"/>
        </w:rPr>
        <w:t>We already knew that young adults were still feeling the impacts of the 2008 financial crisis on</w:t>
      </w:r>
      <w:r>
        <w:rPr>
          <w:color w:val="252525"/>
          <w:spacing w:val="-17"/>
        </w:rPr>
        <w:t xml:space="preserve"> </w:t>
      </w:r>
      <w:r>
        <w:rPr>
          <w:color w:val="252525"/>
        </w:rPr>
        <w:t>their</w:t>
      </w:r>
      <w:r>
        <w:rPr>
          <w:color w:val="252525"/>
          <w:spacing w:val="-18"/>
        </w:rPr>
        <w:t xml:space="preserve"> </w:t>
      </w:r>
      <w:r>
        <w:rPr>
          <w:color w:val="252525"/>
        </w:rPr>
        <w:t>living</w:t>
      </w:r>
      <w:r>
        <w:rPr>
          <w:color w:val="252525"/>
          <w:spacing w:val="-17"/>
        </w:rPr>
        <w:t xml:space="preserve"> </w:t>
      </w:r>
      <w:r>
        <w:rPr>
          <w:color w:val="252525"/>
        </w:rPr>
        <w:t>standards,</w:t>
      </w:r>
      <w:r>
        <w:rPr>
          <w:color w:val="252525"/>
          <w:spacing w:val="-20"/>
        </w:rPr>
        <w:t xml:space="preserve"> </w:t>
      </w:r>
      <w:r>
        <w:rPr>
          <w:color w:val="252525"/>
        </w:rPr>
        <w:t>particularly</w:t>
      </w:r>
      <w:r>
        <w:rPr>
          <w:color w:val="252525"/>
          <w:spacing w:val="-17"/>
        </w:rPr>
        <w:t xml:space="preserve"> </w:t>
      </w:r>
      <w:r>
        <w:rPr>
          <w:color w:val="252525"/>
        </w:rPr>
        <w:t>with</w:t>
      </w:r>
      <w:r>
        <w:rPr>
          <w:color w:val="252525"/>
          <w:spacing w:val="-17"/>
        </w:rPr>
        <w:t xml:space="preserve"> </w:t>
      </w:r>
      <w:r>
        <w:rPr>
          <w:color w:val="252525"/>
        </w:rPr>
        <w:t>regard</w:t>
      </w:r>
      <w:r>
        <w:rPr>
          <w:color w:val="252525"/>
          <w:spacing w:val="-17"/>
        </w:rPr>
        <w:t xml:space="preserve"> </w:t>
      </w:r>
      <w:r>
        <w:rPr>
          <w:color w:val="252525"/>
        </w:rPr>
        <w:t>to</w:t>
      </w:r>
      <w:r>
        <w:rPr>
          <w:color w:val="252525"/>
          <w:spacing w:val="-17"/>
        </w:rPr>
        <w:t xml:space="preserve"> </w:t>
      </w:r>
      <w:r>
        <w:rPr>
          <w:color w:val="252525"/>
        </w:rPr>
        <w:t>stagnating</w:t>
      </w:r>
      <w:r>
        <w:rPr>
          <w:color w:val="252525"/>
          <w:spacing w:val="-16"/>
        </w:rPr>
        <w:t xml:space="preserve"> </w:t>
      </w:r>
      <w:r>
        <w:rPr>
          <w:color w:val="252525"/>
        </w:rPr>
        <w:t>real</w:t>
      </w:r>
      <w:r>
        <w:rPr>
          <w:color w:val="252525"/>
          <w:spacing w:val="-17"/>
        </w:rPr>
        <w:t xml:space="preserve"> </w:t>
      </w:r>
      <w:r>
        <w:rPr>
          <w:color w:val="252525"/>
        </w:rPr>
        <w:t>incomes</w:t>
      </w:r>
      <w:r>
        <w:rPr>
          <w:color w:val="252525"/>
          <w:spacing w:val="-18"/>
        </w:rPr>
        <w:t xml:space="preserve"> </w:t>
      </w:r>
      <w:r>
        <w:rPr>
          <w:color w:val="252525"/>
        </w:rPr>
        <w:t>and</w:t>
      </w:r>
      <w:r>
        <w:rPr>
          <w:color w:val="252525"/>
          <w:spacing w:val="-17"/>
        </w:rPr>
        <w:t xml:space="preserve"> </w:t>
      </w:r>
      <w:r>
        <w:rPr>
          <w:color w:val="252525"/>
        </w:rPr>
        <w:t>lower</w:t>
      </w:r>
      <w:r>
        <w:rPr>
          <w:color w:val="252525"/>
          <w:spacing w:val="-18"/>
        </w:rPr>
        <w:t xml:space="preserve"> </w:t>
      </w:r>
      <w:r>
        <w:rPr>
          <w:color w:val="252525"/>
        </w:rPr>
        <w:t>wealth accumulation</w:t>
      </w:r>
      <w:r>
        <w:rPr>
          <w:color w:val="252525"/>
          <w:spacing w:val="-11"/>
        </w:rPr>
        <w:t xml:space="preserve"> </w:t>
      </w:r>
      <w:r>
        <w:rPr>
          <w:color w:val="252525"/>
        </w:rPr>
        <w:t>compared</w:t>
      </w:r>
      <w:r>
        <w:rPr>
          <w:color w:val="252525"/>
          <w:spacing w:val="-10"/>
        </w:rPr>
        <w:t xml:space="preserve"> </w:t>
      </w:r>
      <w:r>
        <w:rPr>
          <w:color w:val="252525"/>
        </w:rPr>
        <w:t>to</w:t>
      </w:r>
      <w:r>
        <w:rPr>
          <w:color w:val="252525"/>
          <w:spacing w:val="-11"/>
        </w:rPr>
        <w:t xml:space="preserve"> </w:t>
      </w:r>
      <w:r>
        <w:rPr>
          <w:color w:val="252525"/>
        </w:rPr>
        <w:t>when</w:t>
      </w:r>
      <w:r>
        <w:rPr>
          <w:color w:val="252525"/>
          <w:spacing w:val="-10"/>
        </w:rPr>
        <w:t xml:space="preserve"> </w:t>
      </w:r>
      <w:r>
        <w:rPr>
          <w:color w:val="252525"/>
        </w:rPr>
        <w:t>previous</w:t>
      </w:r>
      <w:r>
        <w:rPr>
          <w:color w:val="252525"/>
          <w:spacing w:val="-12"/>
        </w:rPr>
        <w:t xml:space="preserve"> </w:t>
      </w:r>
      <w:r>
        <w:rPr>
          <w:color w:val="252525"/>
        </w:rPr>
        <w:t>generations</w:t>
      </w:r>
      <w:r>
        <w:rPr>
          <w:color w:val="252525"/>
          <w:spacing w:val="-11"/>
        </w:rPr>
        <w:t xml:space="preserve"> </w:t>
      </w:r>
      <w:r>
        <w:rPr>
          <w:color w:val="252525"/>
        </w:rPr>
        <w:t>were</w:t>
      </w:r>
      <w:r>
        <w:rPr>
          <w:color w:val="252525"/>
          <w:spacing w:val="-11"/>
        </w:rPr>
        <w:t xml:space="preserve"> </w:t>
      </w:r>
      <w:r>
        <w:rPr>
          <w:color w:val="252525"/>
        </w:rPr>
        <w:t>at</w:t>
      </w:r>
      <w:r>
        <w:rPr>
          <w:color w:val="252525"/>
          <w:spacing w:val="-14"/>
        </w:rPr>
        <w:t xml:space="preserve"> </w:t>
      </w:r>
      <w:r>
        <w:rPr>
          <w:color w:val="252525"/>
        </w:rPr>
        <w:t>the</w:t>
      </w:r>
      <w:r>
        <w:rPr>
          <w:color w:val="252525"/>
          <w:spacing w:val="-10"/>
        </w:rPr>
        <w:t xml:space="preserve"> </w:t>
      </w:r>
      <w:r>
        <w:rPr>
          <w:color w:val="252525"/>
        </w:rPr>
        <w:t>same</w:t>
      </w:r>
      <w:r>
        <w:rPr>
          <w:color w:val="252525"/>
          <w:spacing w:val="-11"/>
        </w:rPr>
        <w:t xml:space="preserve"> </w:t>
      </w:r>
      <w:r>
        <w:rPr>
          <w:color w:val="252525"/>
        </w:rPr>
        <w:t>stage</w:t>
      </w:r>
      <w:r>
        <w:rPr>
          <w:color w:val="252525"/>
          <w:spacing w:val="-10"/>
        </w:rPr>
        <w:t xml:space="preserve"> </w:t>
      </w:r>
      <w:r>
        <w:rPr>
          <w:color w:val="252525"/>
        </w:rPr>
        <w:t>in</w:t>
      </w:r>
      <w:r>
        <w:rPr>
          <w:color w:val="252525"/>
          <w:spacing w:val="-10"/>
        </w:rPr>
        <w:t xml:space="preserve"> </w:t>
      </w:r>
      <w:r>
        <w:rPr>
          <w:color w:val="252525"/>
        </w:rPr>
        <w:t>life.</w:t>
      </w:r>
      <w:r>
        <w:rPr>
          <w:color w:val="252525"/>
          <w:spacing w:val="-14"/>
        </w:rPr>
        <w:t xml:space="preserve"> </w:t>
      </w:r>
      <w:r>
        <w:rPr>
          <w:color w:val="252525"/>
        </w:rPr>
        <w:t>So</w:t>
      </w:r>
      <w:r>
        <w:rPr>
          <w:color w:val="252525"/>
          <w:spacing w:val="-5"/>
        </w:rPr>
        <w:t xml:space="preserve"> </w:t>
      </w:r>
      <w:r>
        <w:rPr>
          <w:color w:val="252525"/>
        </w:rPr>
        <w:t>we think it’s important that the UK economy doesn’t simply return to “business as usual” in the aftermath of the COVID-19</w:t>
      </w:r>
      <w:r>
        <w:rPr>
          <w:color w:val="252525"/>
          <w:spacing w:val="-7"/>
        </w:rPr>
        <w:t xml:space="preserve"> </w:t>
      </w:r>
      <w:r>
        <w:rPr>
          <w:color w:val="252525"/>
        </w:rPr>
        <w:t>crisis.</w:t>
      </w:r>
    </w:p>
    <w:p w:rsidR="00AC4659" w:rsidRDefault="00AC4659">
      <w:pPr>
        <w:pStyle w:val="BodyText"/>
        <w:spacing w:before="8"/>
        <w:rPr>
          <w:sz w:val="27"/>
        </w:rPr>
      </w:pPr>
    </w:p>
    <w:p w:rsidR="00AC4659" w:rsidRDefault="00AC4659">
      <w:pPr>
        <w:pStyle w:val="BodyText"/>
        <w:spacing w:before="1" w:line="276" w:lineRule="auto"/>
        <w:ind w:left="115" w:right="102"/>
        <w:jc w:val="both"/>
      </w:pPr>
      <w:r>
        <w:rPr>
          <w:color w:val="252525"/>
        </w:rPr>
        <w:t>In</w:t>
      </w:r>
      <w:r>
        <w:rPr>
          <w:color w:val="252525"/>
          <w:spacing w:val="-5"/>
        </w:rPr>
        <w:t xml:space="preserve"> </w:t>
      </w:r>
      <w:r>
        <w:rPr>
          <w:color w:val="252525"/>
        </w:rPr>
        <w:t>the</w:t>
      </w:r>
      <w:r>
        <w:rPr>
          <w:color w:val="252525"/>
          <w:spacing w:val="-5"/>
        </w:rPr>
        <w:t xml:space="preserve"> </w:t>
      </w:r>
      <w:r>
        <w:rPr>
          <w:color w:val="252525"/>
        </w:rPr>
        <w:t>rest</w:t>
      </w:r>
      <w:r>
        <w:rPr>
          <w:color w:val="252525"/>
          <w:spacing w:val="-3"/>
        </w:rPr>
        <w:t xml:space="preserve"> </w:t>
      </w:r>
      <w:r>
        <w:rPr>
          <w:color w:val="252525"/>
        </w:rPr>
        <w:t>of</w:t>
      </w:r>
      <w:r>
        <w:rPr>
          <w:color w:val="252525"/>
          <w:spacing w:val="-8"/>
        </w:rPr>
        <w:t xml:space="preserve"> </w:t>
      </w:r>
      <w:r>
        <w:rPr>
          <w:color w:val="252525"/>
        </w:rPr>
        <w:t>our</w:t>
      </w:r>
      <w:r>
        <w:rPr>
          <w:color w:val="252525"/>
          <w:spacing w:val="-5"/>
        </w:rPr>
        <w:t xml:space="preserve"> </w:t>
      </w:r>
      <w:r>
        <w:rPr>
          <w:color w:val="252525"/>
        </w:rPr>
        <w:t>response,</w:t>
      </w:r>
      <w:r>
        <w:rPr>
          <w:color w:val="252525"/>
          <w:spacing w:val="-8"/>
        </w:rPr>
        <w:t xml:space="preserve"> </w:t>
      </w:r>
      <w:r>
        <w:rPr>
          <w:color w:val="252525"/>
        </w:rPr>
        <w:t>we</w:t>
      </w:r>
      <w:r>
        <w:rPr>
          <w:color w:val="252525"/>
          <w:spacing w:val="-5"/>
        </w:rPr>
        <w:t xml:space="preserve"> </w:t>
      </w:r>
      <w:r>
        <w:rPr>
          <w:color w:val="252525"/>
        </w:rPr>
        <w:t>will</w:t>
      </w:r>
      <w:r>
        <w:rPr>
          <w:color w:val="252525"/>
          <w:spacing w:val="-5"/>
        </w:rPr>
        <w:t xml:space="preserve"> </w:t>
      </w:r>
      <w:r>
        <w:rPr>
          <w:color w:val="252525"/>
        </w:rPr>
        <w:t>present</w:t>
      </w:r>
      <w:r>
        <w:rPr>
          <w:color w:val="252525"/>
          <w:spacing w:val="-8"/>
        </w:rPr>
        <w:t xml:space="preserve"> </w:t>
      </w:r>
      <w:r>
        <w:rPr>
          <w:color w:val="252525"/>
        </w:rPr>
        <w:t>evidence</w:t>
      </w:r>
      <w:r>
        <w:rPr>
          <w:color w:val="252525"/>
          <w:spacing w:val="-5"/>
        </w:rPr>
        <w:t xml:space="preserve"> </w:t>
      </w:r>
      <w:r>
        <w:rPr>
          <w:color w:val="252525"/>
        </w:rPr>
        <w:t>to</w:t>
      </w:r>
      <w:r>
        <w:rPr>
          <w:color w:val="252525"/>
          <w:spacing w:val="-4"/>
        </w:rPr>
        <w:t xml:space="preserve"> </w:t>
      </w:r>
      <w:r>
        <w:rPr>
          <w:color w:val="252525"/>
        </w:rPr>
        <w:t>demonstrate</w:t>
      </w:r>
      <w:r>
        <w:rPr>
          <w:color w:val="252525"/>
          <w:spacing w:val="-5"/>
        </w:rPr>
        <w:t xml:space="preserve"> </w:t>
      </w:r>
      <w:r>
        <w:rPr>
          <w:color w:val="252525"/>
        </w:rPr>
        <w:t>that</w:t>
      </w:r>
      <w:r>
        <w:rPr>
          <w:color w:val="252525"/>
          <w:spacing w:val="-8"/>
        </w:rPr>
        <w:t xml:space="preserve"> </w:t>
      </w:r>
      <w:r>
        <w:rPr>
          <w:color w:val="252525"/>
        </w:rPr>
        <w:t>young</w:t>
      </w:r>
      <w:r>
        <w:rPr>
          <w:color w:val="252525"/>
          <w:spacing w:val="-5"/>
        </w:rPr>
        <w:t xml:space="preserve"> </w:t>
      </w:r>
      <w:r>
        <w:rPr>
          <w:color w:val="252525"/>
        </w:rPr>
        <w:t>adults</w:t>
      </w:r>
      <w:r>
        <w:rPr>
          <w:color w:val="252525"/>
          <w:spacing w:val="-6"/>
        </w:rPr>
        <w:t xml:space="preserve"> </w:t>
      </w:r>
      <w:r>
        <w:rPr>
          <w:color w:val="252525"/>
        </w:rPr>
        <w:t xml:space="preserve">have been disproportionately affected by the economic impacts of the COVID-19 crisis and then propose some policy ideas which we think the UK government should adopt in </w:t>
      </w:r>
      <w:r>
        <w:rPr>
          <w:color w:val="252525"/>
          <w:spacing w:val="-2"/>
        </w:rPr>
        <w:t xml:space="preserve">the </w:t>
      </w:r>
      <w:r>
        <w:rPr>
          <w:color w:val="252525"/>
        </w:rPr>
        <w:t>post- COVID</w:t>
      </w:r>
      <w:r>
        <w:rPr>
          <w:color w:val="252525"/>
          <w:spacing w:val="-1"/>
        </w:rPr>
        <w:t xml:space="preserve"> </w:t>
      </w:r>
      <w:r>
        <w:rPr>
          <w:color w:val="252525"/>
        </w:rPr>
        <w:t>world.</w:t>
      </w:r>
    </w:p>
    <w:p w:rsidR="00AC4659" w:rsidRDefault="00AC4659">
      <w:pPr>
        <w:spacing w:line="276" w:lineRule="auto"/>
        <w:jc w:val="both"/>
        <w:sectPr w:rsidR="00AC4659">
          <w:headerReference w:type="default" r:id="rId8"/>
          <w:footerReference w:type="default" r:id="rId9"/>
          <w:type w:val="continuous"/>
          <w:pgSz w:w="11900" w:h="16840"/>
          <w:pgMar w:top="1660" w:right="1020" w:bottom="900" w:left="1020" w:header="765" w:footer="713" w:gutter="0"/>
          <w:pgNumType w:start="1"/>
          <w:cols w:space="720"/>
        </w:sectPr>
      </w:pPr>
    </w:p>
    <w:p w:rsidR="00AC4659" w:rsidRDefault="00AC4659">
      <w:pPr>
        <w:pStyle w:val="BodyText"/>
        <w:spacing w:before="7"/>
        <w:rPr>
          <w:sz w:val="11"/>
        </w:rPr>
      </w:pPr>
    </w:p>
    <w:p w:rsidR="00AC4659" w:rsidRDefault="00AC4659">
      <w:pPr>
        <w:pStyle w:val="Heading1"/>
        <w:numPr>
          <w:ilvl w:val="0"/>
          <w:numId w:val="1"/>
        </w:numPr>
        <w:tabs>
          <w:tab w:val="left" w:pos="476"/>
        </w:tabs>
        <w:spacing w:before="93"/>
        <w:ind w:hanging="361"/>
      </w:pPr>
      <w:r>
        <w:rPr>
          <w:color w:val="252525"/>
        </w:rPr>
        <w:t>COVID-19 has harmed the living standard of young adults</w:t>
      </w:r>
      <w:r>
        <w:rPr>
          <w:color w:val="252525"/>
          <w:spacing w:val="-22"/>
        </w:rPr>
        <w:t xml:space="preserve"> </w:t>
      </w:r>
      <w:r>
        <w:rPr>
          <w:color w:val="252525"/>
        </w:rPr>
        <w:t>disproportionately</w:t>
      </w:r>
    </w:p>
    <w:p w:rsidR="00AC4659" w:rsidRDefault="00AC4659">
      <w:pPr>
        <w:pStyle w:val="BodyText"/>
        <w:spacing w:before="2"/>
        <w:rPr>
          <w:b/>
          <w:sz w:val="31"/>
        </w:rPr>
      </w:pPr>
    </w:p>
    <w:p w:rsidR="00AC4659" w:rsidRDefault="00AC4659">
      <w:pPr>
        <w:pStyle w:val="BodyText"/>
        <w:spacing w:before="1" w:line="278" w:lineRule="auto"/>
        <w:ind w:left="115" w:right="108"/>
        <w:jc w:val="both"/>
      </w:pPr>
      <w:r>
        <w:rPr>
          <w:color w:val="252525"/>
        </w:rPr>
        <w:t>Prior to the beginning of the COVID-19 crisis, young adults in the UK were already lagging behind</w:t>
      </w:r>
      <w:r>
        <w:rPr>
          <w:color w:val="252525"/>
          <w:spacing w:val="-13"/>
        </w:rPr>
        <w:t xml:space="preserve"> </w:t>
      </w:r>
      <w:r>
        <w:rPr>
          <w:color w:val="252525"/>
        </w:rPr>
        <w:t>where</w:t>
      </w:r>
      <w:r>
        <w:rPr>
          <w:color w:val="252525"/>
          <w:spacing w:val="-12"/>
        </w:rPr>
        <w:t xml:space="preserve"> </w:t>
      </w:r>
      <w:r>
        <w:rPr>
          <w:color w:val="252525"/>
        </w:rPr>
        <w:t>previous</w:t>
      </w:r>
      <w:r>
        <w:rPr>
          <w:color w:val="252525"/>
          <w:spacing w:val="-13"/>
        </w:rPr>
        <w:t xml:space="preserve"> </w:t>
      </w:r>
      <w:r>
        <w:rPr>
          <w:color w:val="252525"/>
        </w:rPr>
        <w:t>generations</w:t>
      </w:r>
      <w:r>
        <w:rPr>
          <w:color w:val="252525"/>
          <w:spacing w:val="-13"/>
        </w:rPr>
        <w:t xml:space="preserve"> </w:t>
      </w:r>
      <w:r>
        <w:rPr>
          <w:color w:val="252525"/>
        </w:rPr>
        <w:t>were</w:t>
      </w:r>
      <w:r>
        <w:rPr>
          <w:color w:val="252525"/>
          <w:spacing w:val="-12"/>
        </w:rPr>
        <w:t xml:space="preserve"> </w:t>
      </w:r>
      <w:r>
        <w:rPr>
          <w:color w:val="252525"/>
        </w:rPr>
        <w:t>at</w:t>
      </w:r>
      <w:r>
        <w:rPr>
          <w:color w:val="252525"/>
          <w:spacing w:val="-15"/>
        </w:rPr>
        <w:t xml:space="preserve"> </w:t>
      </w:r>
      <w:r>
        <w:rPr>
          <w:color w:val="252525"/>
        </w:rPr>
        <w:t>the</w:t>
      </w:r>
      <w:r>
        <w:rPr>
          <w:color w:val="252525"/>
          <w:spacing w:val="-12"/>
        </w:rPr>
        <w:t xml:space="preserve"> </w:t>
      </w:r>
      <w:r>
        <w:rPr>
          <w:color w:val="252525"/>
        </w:rPr>
        <w:t>same</w:t>
      </w:r>
      <w:r>
        <w:rPr>
          <w:color w:val="252525"/>
          <w:spacing w:val="-12"/>
        </w:rPr>
        <w:t xml:space="preserve"> </w:t>
      </w:r>
      <w:r>
        <w:rPr>
          <w:color w:val="252525"/>
        </w:rPr>
        <w:t>stage</w:t>
      </w:r>
      <w:r>
        <w:rPr>
          <w:color w:val="252525"/>
          <w:spacing w:val="-12"/>
        </w:rPr>
        <w:t xml:space="preserve"> </w:t>
      </w:r>
      <w:r>
        <w:rPr>
          <w:color w:val="252525"/>
        </w:rPr>
        <w:t>in</w:t>
      </w:r>
      <w:r>
        <w:rPr>
          <w:color w:val="252525"/>
          <w:spacing w:val="-17"/>
        </w:rPr>
        <w:t xml:space="preserve"> </w:t>
      </w:r>
      <w:r>
        <w:rPr>
          <w:color w:val="252525"/>
        </w:rPr>
        <w:t>life</w:t>
      </w:r>
      <w:r>
        <w:rPr>
          <w:color w:val="252525"/>
          <w:spacing w:val="-12"/>
        </w:rPr>
        <w:t xml:space="preserve"> </w:t>
      </w:r>
      <w:r>
        <w:rPr>
          <w:color w:val="252525"/>
        </w:rPr>
        <w:t>on</w:t>
      </w:r>
      <w:r>
        <w:rPr>
          <w:color w:val="252525"/>
          <w:spacing w:val="-12"/>
        </w:rPr>
        <w:t xml:space="preserve"> </w:t>
      </w:r>
      <w:r>
        <w:rPr>
          <w:color w:val="252525"/>
        </w:rPr>
        <w:t>a</w:t>
      </w:r>
      <w:r>
        <w:rPr>
          <w:color w:val="252525"/>
          <w:spacing w:val="-12"/>
        </w:rPr>
        <w:t xml:space="preserve"> </w:t>
      </w:r>
      <w:r>
        <w:rPr>
          <w:color w:val="252525"/>
        </w:rPr>
        <w:t>number</w:t>
      </w:r>
      <w:r>
        <w:rPr>
          <w:color w:val="252525"/>
          <w:spacing w:val="-13"/>
        </w:rPr>
        <w:t xml:space="preserve"> </w:t>
      </w:r>
      <w:r>
        <w:rPr>
          <w:color w:val="252525"/>
        </w:rPr>
        <w:t>of</w:t>
      </w:r>
      <w:r>
        <w:rPr>
          <w:color w:val="252525"/>
          <w:spacing w:val="-15"/>
        </w:rPr>
        <w:t xml:space="preserve"> </w:t>
      </w:r>
      <w:r>
        <w:rPr>
          <w:color w:val="252525"/>
        </w:rPr>
        <w:t>measures.</w:t>
      </w:r>
    </w:p>
    <w:p w:rsidR="00AC4659" w:rsidRDefault="00AC4659">
      <w:pPr>
        <w:pStyle w:val="BodyText"/>
        <w:spacing w:before="4"/>
        <w:rPr>
          <w:sz w:val="27"/>
        </w:rPr>
      </w:pPr>
    </w:p>
    <w:p w:rsidR="00AC4659" w:rsidRDefault="00AC4659">
      <w:pPr>
        <w:pStyle w:val="BodyText"/>
        <w:spacing w:line="276" w:lineRule="auto"/>
        <w:ind w:left="115" w:right="103"/>
        <w:jc w:val="both"/>
      </w:pPr>
      <w:r>
        <w:rPr>
          <w:color w:val="252525"/>
        </w:rPr>
        <w:t>As the final report by the House of Lords Intergenerational Fairness and Provision Select Committee</w:t>
      </w:r>
      <w:r>
        <w:rPr>
          <w:color w:val="252525"/>
          <w:spacing w:val="-13"/>
        </w:rPr>
        <w:t xml:space="preserve"> </w:t>
      </w:r>
      <w:r>
        <w:rPr>
          <w:color w:val="252525"/>
        </w:rPr>
        <w:t>argued</w:t>
      </w:r>
      <w:r>
        <w:rPr>
          <w:color w:val="252525"/>
          <w:spacing w:val="-13"/>
        </w:rPr>
        <w:t xml:space="preserve"> </w:t>
      </w:r>
      <w:r>
        <w:rPr>
          <w:color w:val="252525"/>
        </w:rPr>
        <w:t>in</w:t>
      </w:r>
      <w:r>
        <w:rPr>
          <w:color w:val="252525"/>
          <w:spacing w:val="-12"/>
        </w:rPr>
        <w:t xml:space="preserve"> </w:t>
      </w:r>
      <w:r>
        <w:rPr>
          <w:color w:val="252525"/>
        </w:rPr>
        <w:t>2019,</w:t>
      </w:r>
      <w:r>
        <w:rPr>
          <w:color w:val="252525"/>
          <w:spacing w:val="-16"/>
        </w:rPr>
        <w:t xml:space="preserve"> </w:t>
      </w:r>
      <w:r>
        <w:rPr>
          <w:color w:val="252525"/>
        </w:rPr>
        <w:t>members</w:t>
      </w:r>
      <w:r>
        <w:rPr>
          <w:color w:val="252525"/>
          <w:spacing w:val="-13"/>
        </w:rPr>
        <w:t xml:space="preserve"> </w:t>
      </w:r>
      <w:r>
        <w:rPr>
          <w:color w:val="252525"/>
        </w:rPr>
        <w:t>of</w:t>
      </w:r>
      <w:r>
        <w:rPr>
          <w:color w:val="252525"/>
          <w:spacing w:val="-16"/>
        </w:rPr>
        <w:t xml:space="preserve"> </w:t>
      </w:r>
      <w:r>
        <w:rPr>
          <w:color w:val="252525"/>
        </w:rPr>
        <w:t>the</w:t>
      </w:r>
      <w:r>
        <w:rPr>
          <w:color w:val="252525"/>
          <w:spacing w:val="-12"/>
        </w:rPr>
        <w:t xml:space="preserve"> </w:t>
      </w:r>
      <w:r>
        <w:rPr>
          <w:color w:val="252525"/>
        </w:rPr>
        <w:t>Millennial</w:t>
      </w:r>
      <w:r>
        <w:rPr>
          <w:color w:val="252525"/>
          <w:spacing w:val="-13"/>
        </w:rPr>
        <w:t xml:space="preserve"> </w:t>
      </w:r>
      <w:r>
        <w:rPr>
          <w:color w:val="252525"/>
        </w:rPr>
        <w:t>generation</w:t>
      </w:r>
      <w:r>
        <w:rPr>
          <w:color w:val="252525"/>
          <w:spacing w:val="-12"/>
        </w:rPr>
        <w:t xml:space="preserve"> </w:t>
      </w:r>
      <w:r>
        <w:rPr>
          <w:color w:val="252525"/>
        </w:rPr>
        <w:t>(those</w:t>
      </w:r>
      <w:r>
        <w:rPr>
          <w:color w:val="252525"/>
          <w:spacing w:val="-13"/>
        </w:rPr>
        <w:t xml:space="preserve"> </w:t>
      </w:r>
      <w:r>
        <w:rPr>
          <w:color w:val="252525"/>
        </w:rPr>
        <w:t>born</w:t>
      </w:r>
      <w:r>
        <w:rPr>
          <w:color w:val="252525"/>
          <w:spacing w:val="-12"/>
        </w:rPr>
        <w:t xml:space="preserve"> </w:t>
      </w:r>
      <w:r>
        <w:rPr>
          <w:color w:val="252525"/>
        </w:rPr>
        <w:t>between</w:t>
      </w:r>
      <w:r>
        <w:rPr>
          <w:color w:val="252525"/>
          <w:spacing w:val="-13"/>
        </w:rPr>
        <w:t xml:space="preserve"> </w:t>
      </w:r>
      <w:r>
        <w:rPr>
          <w:color w:val="252525"/>
        </w:rPr>
        <w:t>1980 and</w:t>
      </w:r>
      <w:r>
        <w:rPr>
          <w:color w:val="252525"/>
          <w:spacing w:val="-8"/>
        </w:rPr>
        <w:t xml:space="preserve"> </w:t>
      </w:r>
      <w:r>
        <w:rPr>
          <w:color w:val="252525"/>
        </w:rPr>
        <w:t>2000)</w:t>
      </w:r>
      <w:r>
        <w:rPr>
          <w:color w:val="252525"/>
          <w:spacing w:val="-13"/>
        </w:rPr>
        <w:t xml:space="preserve"> </w:t>
      </w:r>
      <w:r>
        <w:rPr>
          <w:color w:val="252525"/>
        </w:rPr>
        <w:t>were</w:t>
      </w:r>
      <w:r>
        <w:rPr>
          <w:color w:val="252525"/>
          <w:spacing w:val="-12"/>
        </w:rPr>
        <w:t xml:space="preserve"> </w:t>
      </w:r>
      <w:r>
        <w:rPr>
          <w:color w:val="252525"/>
        </w:rPr>
        <w:t>not</w:t>
      </w:r>
      <w:r>
        <w:rPr>
          <w:color w:val="252525"/>
          <w:spacing w:val="-10"/>
        </w:rPr>
        <w:t xml:space="preserve"> </w:t>
      </w:r>
      <w:r>
        <w:rPr>
          <w:color w:val="252525"/>
        </w:rPr>
        <w:t>earning</w:t>
      </w:r>
      <w:r>
        <w:rPr>
          <w:color w:val="252525"/>
          <w:spacing w:val="-7"/>
        </w:rPr>
        <w:t xml:space="preserve"> </w:t>
      </w:r>
      <w:r>
        <w:rPr>
          <w:color w:val="252525"/>
        </w:rPr>
        <w:t>any</w:t>
      </w:r>
      <w:r>
        <w:rPr>
          <w:color w:val="252525"/>
          <w:spacing w:val="-8"/>
        </w:rPr>
        <w:t xml:space="preserve"> </w:t>
      </w:r>
      <w:r>
        <w:rPr>
          <w:color w:val="252525"/>
        </w:rPr>
        <w:t>more</w:t>
      </w:r>
      <w:r>
        <w:rPr>
          <w:color w:val="252525"/>
          <w:spacing w:val="-12"/>
        </w:rPr>
        <w:t xml:space="preserve"> </w:t>
      </w:r>
      <w:r>
        <w:rPr>
          <w:color w:val="252525"/>
        </w:rPr>
        <w:t>in</w:t>
      </w:r>
      <w:r>
        <w:rPr>
          <w:color w:val="252525"/>
          <w:spacing w:val="-7"/>
        </w:rPr>
        <w:t xml:space="preserve"> </w:t>
      </w:r>
      <w:r>
        <w:rPr>
          <w:color w:val="252525"/>
        </w:rPr>
        <w:t>real</w:t>
      </w:r>
      <w:r>
        <w:rPr>
          <w:color w:val="252525"/>
          <w:spacing w:val="-12"/>
        </w:rPr>
        <w:t xml:space="preserve"> </w:t>
      </w:r>
      <w:r>
        <w:rPr>
          <w:color w:val="252525"/>
        </w:rPr>
        <w:t>terms</w:t>
      </w:r>
      <w:r>
        <w:rPr>
          <w:color w:val="252525"/>
          <w:spacing w:val="-9"/>
        </w:rPr>
        <w:t xml:space="preserve"> </w:t>
      </w:r>
      <w:r>
        <w:rPr>
          <w:color w:val="252525"/>
        </w:rPr>
        <w:t>than</w:t>
      </w:r>
      <w:r>
        <w:rPr>
          <w:color w:val="252525"/>
          <w:spacing w:val="-7"/>
        </w:rPr>
        <w:t xml:space="preserve"> </w:t>
      </w:r>
      <w:r>
        <w:rPr>
          <w:color w:val="252525"/>
        </w:rPr>
        <w:t>the</w:t>
      </w:r>
      <w:r>
        <w:rPr>
          <w:color w:val="252525"/>
          <w:spacing w:val="-12"/>
        </w:rPr>
        <w:t xml:space="preserve"> </w:t>
      </w:r>
      <w:r>
        <w:rPr>
          <w:color w:val="252525"/>
        </w:rPr>
        <w:t>previous</w:t>
      </w:r>
      <w:r>
        <w:rPr>
          <w:color w:val="252525"/>
          <w:spacing w:val="-8"/>
        </w:rPr>
        <w:t xml:space="preserve"> </w:t>
      </w:r>
      <w:r>
        <w:rPr>
          <w:color w:val="252525"/>
        </w:rPr>
        <w:t>generation</w:t>
      </w:r>
      <w:r>
        <w:rPr>
          <w:color w:val="252525"/>
          <w:spacing w:val="-12"/>
        </w:rPr>
        <w:t xml:space="preserve"> </w:t>
      </w:r>
      <w:r>
        <w:rPr>
          <w:color w:val="252525"/>
        </w:rPr>
        <w:t>were</w:t>
      </w:r>
      <w:r>
        <w:rPr>
          <w:color w:val="252525"/>
          <w:spacing w:val="-12"/>
        </w:rPr>
        <w:t xml:space="preserve"> </w:t>
      </w:r>
      <w:r>
        <w:rPr>
          <w:color w:val="252525"/>
        </w:rPr>
        <w:t>at</w:t>
      </w:r>
      <w:r>
        <w:rPr>
          <w:color w:val="252525"/>
          <w:spacing w:val="-10"/>
        </w:rPr>
        <w:t xml:space="preserve"> </w:t>
      </w:r>
      <w:r>
        <w:rPr>
          <w:color w:val="252525"/>
        </w:rPr>
        <w:t>the same stage in life, despite a much higher proportion of them holding a university degree; they were also more likely to be working in temporary or insecure forms of employment, much less likely to have got on the property ladder, and less likely to be saving towards their retirement via a defined benefit pension scheme; and the members of this generation who have been to university are burdened by high levels of student</w:t>
      </w:r>
      <w:r>
        <w:rPr>
          <w:color w:val="252525"/>
          <w:spacing w:val="-22"/>
        </w:rPr>
        <w:t xml:space="preserve"> </w:t>
      </w:r>
      <w:r>
        <w:rPr>
          <w:color w:val="252525"/>
        </w:rPr>
        <w:t>debt.</w:t>
      </w:r>
    </w:p>
    <w:p w:rsidR="00AC4659" w:rsidRDefault="00AC4659">
      <w:pPr>
        <w:pStyle w:val="BodyText"/>
        <w:spacing w:before="6"/>
        <w:rPr>
          <w:sz w:val="27"/>
        </w:rPr>
      </w:pPr>
    </w:p>
    <w:p w:rsidR="00AC4659" w:rsidRDefault="00AC4659">
      <w:pPr>
        <w:pStyle w:val="BodyText"/>
        <w:spacing w:line="276" w:lineRule="auto"/>
        <w:ind w:left="115" w:right="104"/>
        <w:jc w:val="both"/>
      </w:pPr>
      <w:r>
        <w:rPr>
          <w:color w:val="252525"/>
        </w:rPr>
        <w:t xml:space="preserve">IF published research last year in collaboration with Yorkshire Building Society which highlighted how young adults’ living standards today have declined in comparison to those of the previous generation when they were at the same stage in life. By </w:t>
      </w:r>
      <w:proofErr w:type="spellStart"/>
      <w:r>
        <w:rPr>
          <w:color w:val="252525"/>
        </w:rPr>
        <w:t>analysing</w:t>
      </w:r>
      <w:proofErr w:type="spellEnd"/>
      <w:r>
        <w:rPr>
          <w:color w:val="252525"/>
        </w:rPr>
        <w:t xml:space="preserve"> the household expenditure of different age groups, we found that almost two-thirds of all the money</w:t>
      </w:r>
      <w:r>
        <w:rPr>
          <w:color w:val="252525"/>
          <w:spacing w:val="-8"/>
        </w:rPr>
        <w:t xml:space="preserve"> </w:t>
      </w:r>
      <w:r>
        <w:rPr>
          <w:color w:val="252525"/>
        </w:rPr>
        <w:t>that</w:t>
      </w:r>
      <w:r>
        <w:rPr>
          <w:color w:val="252525"/>
          <w:spacing w:val="-7"/>
        </w:rPr>
        <w:t xml:space="preserve"> </w:t>
      </w:r>
      <w:r>
        <w:rPr>
          <w:color w:val="252525"/>
        </w:rPr>
        <w:t>is</w:t>
      </w:r>
      <w:r>
        <w:rPr>
          <w:color w:val="252525"/>
          <w:spacing w:val="-8"/>
        </w:rPr>
        <w:t xml:space="preserve"> </w:t>
      </w:r>
      <w:r>
        <w:rPr>
          <w:color w:val="252525"/>
        </w:rPr>
        <w:t>spent</w:t>
      </w:r>
      <w:r>
        <w:rPr>
          <w:color w:val="252525"/>
          <w:spacing w:val="-10"/>
        </w:rPr>
        <w:t xml:space="preserve"> </w:t>
      </w:r>
      <w:r>
        <w:rPr>
          <w:color w:val="252525"/>
        </w:rPr>
        <w:t>by</w:t>
      </w:r>
      <w:r>
        <w:rPr>
          <w:color w:val="252525"/>
          <w:spacing w:val="-7"/>
        </w:rPr>
        <w:t xml:space="preserve"> </w:t>
      </w:r>
      <w:r>
        <w:rPr>
          <w:color w:val="252525"/>
        </w:rPr>
        <w:t>households</w:t>
      </w:r>
      <w:r>
        <w:rPr>
          <w:color w:val="252525"/>
          <w:spacing w:val="-8"/>
        </w:rPr>
        <w:t xml:space="preserve"> </w:t>
      </w:r>
      <w:r>
        <w:rPr>
          <w:color w:val="252525"/>
        </w:rPr>
        <w:t>in</w:t>
      </w:r>
      <w:r>
        <w:rPr>
          <w:color w:val="252525"/>
          <w:spacing w:val="-7"/>
        </w:rPr>
        <w:t xml:space="preserve"> </w:t>
      </w:r>
      <w:r>
        <w:rPr>
          <w:color w:val="252525"/>
        </w:rPr>
        <w:t>which</w:t>
      </w:r>
      <w:r>
        <w:rPr>
          <w:color w:val="252525"/>
          <w:spacing w:val="-7"/>
        </w:rPr>
        <w:t xml:space="preserve"> </w:t>
      </w:r>
      <w:r>
        <w:rPr>
          <w:color w:val="252525"/>
          <w:spacing w:val="-2"/>
        </w:rPr>
        <w:t>the</w:t>
      </w:r>
      <w:r>
        <w:rPr>
          <w:color w:val="252525"/>
          <w:spacing w:val="-1"/>
        </w:rPr>
        <w:t xml:space="preserve"> </w:t>
      </w:r>
      <w:r>
        <w:rPr>
          <w:color w:val="252525"/>
        </w:rPr>
        <w:t>Household</w:t>
      </w:r>
      <w:r>
        <w:rPr>
          <w:color w:val="252525"/>
          <w:spacing w:val="-7"/>
        </w:rPr>
        <w:t xml:space="preserve"> </w:t>
      </w:r>
      <w:r>
        <w:rPr>
          <w:color w:val="252525"/>
        </w:rPr>
        <w:t>Reference</w:t>
      </w:r>
      <w:r>
        <w:rPr>
          <w:color w:val="252525"/>
          <w:spacing w:val="-6"/>
        </w:rPr>
        <w:t xml:space="preserve"> </w:t>
      </w:r>
      <w:r>
        <w:rPr>
          <w:color w:val="252525"/>
        </w:rPr>
        <w:t>Person</w:t>
      </w:r>
      <w:r>
        <w:rPr>
          <w:color w:val="252525"/>
          <w:spacing w:val="-7"/>
        </w:rPr>
        <w:t xml:space="preserve"> </w:t>
      </w:r>
      <w:r>
        <w:rPr>
          <w:color w:val="252525"/>
        </w:rPr>
        <w:t>is</w:t>
      </w:r>
      <w:r>
        <w:rPr>
          <w:color w:val="252525"/>
          <w:spacing w:val="-8"/>
        </w:rPr>
        <w:t xml:space="preserve"> </w:t>
      </w:r>
      <w:r>
        <w:rPr>
          <w:color w:val="252525"/>
        </w:rPr>
        <w:t>under</w:t>
      </w:r>
      <w:r>
        <w:rPr>
          <w:color w:val="252525"/>
          <w:spacing w:val="-8"/>
        </w:rPr>
        <w:t xml:space="preserve"> </w:t>
      </w:r>
      <w:r>
        <w:rPr>
          <w:color w:val="252525"/>
        </w:rPr>
        <w:t xml:space="preserve">35 goes on “essential” goods and services such as housing, transport, clothing and food; this figure is higher than for any other age group and has increased by nearly 10% since the early 2000s. By contrast, the proportion of their total household budget that is spent on essentials has fallen for </w:t>
      </w:r>
      <w:r>
        <w:rPr>
          <w:color w:val="252525"/>
          <w:spacing w:val="-2"/>
        </w:rPr>
        <w:t xml:space="preserve">the </w:t>
      </w:r>
      <w:r>
        <w:rPr>
          <w:color w:val="252525"/>
        </w:rPr>
        <w:t xml:space="preserve">average household where </w:t>
      </w:r>
      <w:r>
        <w:rPr>
          <w:color w:val="252525"/>
          <w:spacing w:val="-2"/>
        </w:rPr>
        <w:t xml:space="preserve">the </w:t>
      </w:r>
      <w:r>
        <w:rPr>
          <w:color w:val="252525"/>
        </w:rPr>
        <w:t>Household Reference Person is over</w:t>
      </w:r>
      <w:r>
        <w:rPr>
          <w:color w:val="252525"/>
          <w:spacing w:val="-2"/>
        </w:rPr>
        <w:t xml:space="preserve"> </w:t>
      </w:r>
      <w:r>
        <w:rPr>
          <w:color w:val="252525"/>
        </w:rPr>
        <w:t>65.</w:t>
      </w:r>
      <w:r>
        <w:rPr>
          <w:rStyle w:val="FootnoteReference"/>
          <w:rFonts w:cs="Arial"/>
          <w:color w:val="252525"/>
        </w:rPr>
        <w:footnoteReference w:id="1"/>
      </w:r>
    </w:p>
    <w:p w:rsidR="00AC4659" w:rsidRDefault="00AC4659">
      <w:pPr>
        <w:pStyle w:val="BodyText"/>
        <w:spacing w:before="7"/>
        <w:rPr>
          <w:sz w:val="27"/>
        </w:rPr>
      </w:pPr>
    </w:p>
    <w:p w:rsidR="00AC4659" w:rsidRDefault="00AC4659">
      <w:pPr>
        <w:pStyle w:val="BodyText"/>
        <w:spacing w:line="276" w:lineRule="auto"/>
        <w:ind w:left="115" w:right="101"/>
        <w:jc w:val="both"/>
      </w:pPr>
      <w:r>
        <w:rPr>
          <w:color w:val="252525"/>
        </w:rPr>
        <w:t>Since the COVID-19 crisis began, a number of pieces of evidence have emerged which suggest that young adults have also taken an especially large hit to their living standards from the pandemic. Firstly, we know that younger adults disproportionately work in sectors of the economy which have seen reduced activity since social distancing measures began, such</w:t>
      </w:r>
      <w:r>
        <w:rPr>
          <w:color w:val="252525"/>
          <w:spacing w:val="-11"/>
        </w:rPr>
        <w:t xml:space="preserve"> </w:t>
      </w:r>
      <w:r>
        <w:rPr>
          <w:color w:val="252525"/>
        </w:rPr>
        <w:t>as</w:t>
      </w:r>
      <w:r>
        <w:rPr>
          <w:color w:val="252525"/>
          <w:spacing w:val="-10"/>
        </w:rPr>
        <w:t xml:space="preserve"> </w:t>
      </w:r>
      <w:r>
        <w:rPr>
          <w:color w:val="252525"/>
        </w:rPr>
        <w:t>retail,</w:t>
      </w:r>
      <w:r>
        <w:rPr>
          <w:color w:val="252525"/>
          <w:spacing w:val="-13"/>
        </w:rPr>
        <w:t xml:space="preserve"> </w:t>
      </w:r>
      <w:r>
        <w:rPr>
          <w:color w:val="252525"/>
        </w:rPr>
        <w:t>hospitality</w:t>
      </w:r>
      <w:r>
        <w:rPr>
          <w:color w:val="252525"/>
          <w:spacing w:val="-12"/>
        </w:rPr>
        <w:t xml:space="preserve"> </w:t>
      </w:r>
      <w:r>
        <w:rPr>
          <w:color w:val="252525"/>
        </w:rPr>
        <w:t>and</w:t>
      </w:r>
      <w:r>
        <w:rPr>
          <w:color w:val="252525"/>
          <w:spacing w:val="-10"/>
        </w:rPr>
        <w:t xml:space="preserve"> </w:t>
      </w:r>
      <w:r>
        <w:rPr>
          <w:color w:val="252525"/>
        </w:rPr>
        <w:t>tourism,</w:t>
      </w:r>
      <w:r>
        <w:rPr>
          <w:color w:val="252525"/>
          <w:spacing w:val="-13"/>
        </w:rPr>
        <w:t xml:space="preserve"> </w:t>
      </w:r>
      <w:r>
        <w:rPr>
          <w:color w:val="252525"/>
        </w:rPr>
        <w:t>which</w:t>
      </w:r>
      <w:r>
        <w:rPr>
          <w:color w:val="252525"/>
          <w:spacing w:val="-10"/>
        </w:rPr>
        <w:t xml:space="preserve"> </w:t>
      </w:r>
      <w:r>
        <w:rPr>
          <w:color w:val="252525"/>
        </w:rPr>
        <w:t>means</w:t>
      </w:r>
      <w:r>
        <w:rPr>
          <w:color w:val="252525"/>
          <w:spacing w:val="-12"/>
        </w:rPr>
        <w:t xml:space="preserve"> </w:t>
      </w:r>
      <w:r>
        <w:rPr>
          <w:color w:val="252525"/>
        </w:rPr>
        <w:t>more</w:t>
      </w:r>
      <w:r>
        <w:rPr>
          <w:color w:val="252525"/>
          <w:spacing w:val="-10"/>
        </w:rPr>
        <w:t xml:space="preserve"> </w:t>
      </w:r>
      <w:r>
        <w:rPr>
          <w:color w:val="252525"/>
        </w:rPr>
        <w:t>of</w:t>
      </w:r>
      <w:r>
        <w:rPr>
          <w:color w:val="252525"/>
          <w:spacing w:val="-13"/>
        </w:rPr>
        <w:t xml:space="preserve"> </w:t>
      </w:r>
      <w:r>
        <w:rPr>
          <w:color w:val="252525"/>
        </w:rPr>
        <w:t>them</w:t>
      </w:r>
      <w:r>
        <w:rPr>
          <w:color w:val="252525"/>
          <w:spacing w:val="-11"/>
        </w:rPr>
        <w:t xml:space="preserve"> </w:t>
      </w:r>
      <w:r>
        <w:rPr>
          <w:color w:val="252525"/>
        </w:rPr>
        <w:t>have</w:t>
      </w:r>
      <w:r>
        <w:rPr>
          <w:color w:val="252525"/>
          <w:spacing w:val="-11"/>
        </w:rPr>
        <w:t xml:space="preserve"> </w:t>
      </w:r>
      <w:r>
        <w:rPr>
          <w:color w:val="252525"/>
        </w:rPr>
        <w:t>been</w:t>
      </w:r>
      <w:r>
        <w:rPr>
          <w:color w:val="252525"/>
          <w:spacing w:val="-10"/>
        </w:rPr>
        <w:t xml:space="preserve"> </w:t>
      </w:r>
      <w:r>
        <w:rPr>
          <w:color w:val="252525"/>
        </w:rPr>
        <w:t>unable</w:t>
      </w:r>
      <w:r>
        <w:rPr>
          <w:color w:val="252525"/>
          <w:spacing w:val="-10"/>
        </w:rPr>
        <w:t xml:space="preserve"> </w:t>
      </w:r>
      <w:r>
        <w:rPr>
          <w:color w:val="252525"/>
        </w:rPr>
        <w:t>to</w:t>
      </w:r>
      <w:r>
        <w:rPr>
          <w:color w:val="252525"/>
          <w:spacing w:val="-10"/>
        </w:rPr>
        <w:t xml:space="preserve"> </w:t>
      </w:r>
      <w:r>
        <w:rPr>
          <w:color w:val="252525"/>
        </w:rPr>
        <w:t>work, and they face a higher risk of unemployment going forwards. These industries also tend to disproportionately provide employment for young adults who have recently left education, which means there is a significant risk of this year’s generation of school and university leavers experiencing unemployment at the beginning of their working</w:t>
      </w:r>
      <w:r>
        <w:rPr>
          <w:color w:val="252525"/>
          <w:spacing w:val="-22"/>
        </w:rPr>
        <w:t xml:space="preserve"> </w:t>
      </w:r>
      <w:r>
        <w:rPr>
          <w:color w:val="252525"/>
        </w:rPr>
        <w:t>lives.</w:t>
      </w:r>
      <w:r>
        <w:rPr>
          <w:rStyle w:val="FootnoteReference"/>
          <w:rFonts w:cs="Arial"/>
          <w:color w:val="252525"/>
        </w:rPr>
        <w:footnoteReference w:id="2"/>
      </w:r>
    </w:p>
    <w:p w:rsidR="00AC4659" w:rsidRDefault="00AC4659">
      <w:pPr>
        <w:pStyle w:val="BodyText"/>
        <w:spacing w:before="9"/>
        <w:rPr>
          <w:sz w:val="27"/>
        </w:rPr>
      </w:pPr>
    </w:p>
    <w:p w:rsidR="00AC4659" w:rsidRDefault="00AC4659" w:rsidP="00221D41">
      <w:pPr>
        <w:pStyle w:val="BodyText"/>
        <w:spacing w:before="93" w:line="276" w:lineRule="auto"/>
        <w:ind w:right="100"/>
        <w:jc w:val="both"/>
        <w:rPr>
          <w:color w:val="252525"/>
        </w:rPr>
      </w:pPr>
      <w:r>
        <w:rPr>
          <w:color w:val="252525"/>
        </w:rPr>
        <w:t xml:space="preserve">Secondly, younger workers are conversely </w:t>
      </w:r>
      <w:r>
        <w:rPr>
          <w:color w:val="252525"/>
          <w:spacing w:val="-3"/>
        </w:rPr>
        <w:t xml:space="preserve">more </w:t>
      </w:r>
      <w:r>
        <w:rPr>
          <w:color w:val="252525"/>
        </w:rPr>
        <w:t>likely to have been furloughed than older workers, which means that many of them will have suffered a fall in their incomes.</w:t>
      </w:r>
      <w:r>
        <w:rPr>
          <w:rStyle w:val="FootnoteReference"/>
          <w:rFonts w:cs="Arial"/>
          <w:color w:val="252525"/>
        </w:rPr>
        <w:footnoteReference w:id="3"/>
      </w:r>
      <w:r>
        <w:rPr>
          <w:color w:val="252525"/>
        </w:rPr>
        <w:t xml:space="preserve"> Thirdly, we</w:t>
      </w:r>
      <w:r>
        <w:rPr>
          <w:color w:val="252525"/>
          <w:spacing w:val="-4"/>
        </w:rPr>
        <w:t xml:space="preserve"> </w:t>
      </w:r>
      <w:r>
        <w:rPr>
          <w:color w:val="252525"/>
        </w:rPr>
        <w:t>know</w:t>
      </w:r>
      <w:r>
        <w:rPr>
          <w:color w:val="252525"/>
          <w:spacing w:val="-3"/>
        </w:rPr>
        <w:t xml:space="preserve"> </w:t>
      </w:r>
      <w:r>
        <w:rPr>
          <w:color w:val="252525"/>
        </w:rPr>
        <w:t>that</w:t>
      </w:r>
      <w:r>
        <w:rPr>
          <w:color w:val="252525"/>
          <w:spacing w:val="-6"/>
        </w:rPr>
        <w:t xml:space="preserve"> </w:t>
      </w:r>
      <w:r>
        <w:rPr>
          <w:color w:val="252525"/>
        </w:rPr>
        <w:t>this</w:t>
      </w:r>
      <w:r>
        <w:rPr>
          <w:color w:val="252525"/>
          <w:spacing w:val="-4"/>
        </w:rPr>
        <w:t xml:space="preserve"> </w:t>
      </w:r>
      <w:r>
        <w:rPr>
          <w:color w:val="252525"/>
        </w:rPr>
        <w:t>age</w:t>
      </w:r>
      <w:r>
        <w:rPr>
          <w:color w:val="252525"/>
          <w:spacing w:val="-3"/>
        </w:rPr>
        <w:t xml:space="preserve"> </w:t>
      </w:r>
      <w:r>
        <w:rPr>
          <w:color w:val="252525"/>
        </w:rPr>
        <w:t>group</w:t>
      </w:r>
      <w:r>
        <w:rPr>
          <w:color w:val="252525"/>
          <w:spacing w:val="-3"/>
        </w:rPr>
        <w:t xml:space="preserve"> </w:t>
      </w:r>
      <w:r>
        <w:rPr>
          <w:color w:val="252525"/>
        </w:rPr>
        <w:t>is</w:t>
      </w:r>
      <w:r>
        <w:rPr>
          <w:color w:val="252525"/>
          <w:spacing w:val="-4"/>
        </w:rPr>
        <w:t xml:space="preserve"> </w:t>
      </w:r>
      <w:r>
        <w:rPr>
          <w:color w:val="252525"/>
        </w:rPr>
        <w:t>less</w:t>
      </w:r>
      <w:r>
        <w:rPr>
          <w:color w:val="252525"/>
          <w:spacing w:val="-4"/>
        </w:rPr>
        <w:t xml:space="preserve"> </w:t>
      </w:r>
      <w:r>
        <w:rPr>
          <w:color w:val="252525"/>
        </w:rPr>
        <w:t>likely</w:t>
      </w:r>
      <w:r>
        <w:rPr>
          <w:color w:val="252525"/>
          <w:spacing w:val="-4"/>
        </w:rPr>
        <w:t xml:space="preserve"> </w:t>
      </w:r>
      <w:r>
        <w:rPr>
          <w:color w:val="252525"/>
        </w:rPr>
        <w:t>to</w:t>
      </w:r>
      <w:r>
        <w:rPr>
          <w:color w:val="252525"/>
          <w:spacing w:val="-4"/>
        </w:rPr>
        <w:t xml:space="preserve"> </w:t>
      </w:r>
      <w:r>
        <w:rPr>
          <w:color w:val="252525"/>
        </w:rPr>
        <w:t>be</w:t>
      </w:r>
      <w:r>
        <w:rPr>
          <w:color w:val="252525"/>
          <w:spacing w:val="-8"/>
        </w:rPr>
        <w:t xml:space="preserve"> </w:t>
      </w:r>
      <w:r>
        <w:rPr>
          <w:color w:val="252525"/>
        </w:rPr>
        <w:t>able</w:t>
      </w:r>
      <w:r>
        <w:rPr>
          <w:color w:val="252525"/>
          <w:spacing w:val="-3"/>
        </w:rPr>
        <w:t xml:space="preserve"> </w:t>
      </w:r>
      <w:r>
        <w:rPr>
          <w:color w:val="252525"/>
        </w:rPr>
        <w:t>to</w:t>
      </w:r>
      <w:r>
        <w:rPr>
          <w:color w:val="252525"/>
          <w:spacing w:val="-3"/>
        </w:rPr>
        <w:t xml:space="preserve"> </w:t>
      </w:r>
      <w:r>
        <w:rPr>
          <w:color w:val="252525"/>
        </w:rPr>
        <w:t>cope</w:t>
      </w:r>
      <w:r>
        <w:rPr>
          <w:color w:val="252525"/>
          <w:spacing w:val="-3"/>
        </w:rPr>
        <w:t xml:space="preserve"> </w:t>
      </w:r>
      <w:r>
        <w:rPr>
          <w:color w:val="252525"/>
        </w:rPr>
        <w:t>with</w:t>
      </w:r>
      <w:r>
        <w:rPr>
          <w:color w:val="252525"/>
          <w:spacing w:val="-3"/>
        </w:rPr>
        <w:t xml:space="preserve"> </w:t>
      </w:r>
      <w:r>
        <w:rPr>
          <w:color w:val="252525"/>
        </w:rPr>
        <w:t>suffering</w:t>
      </w:r>
      <w:r>
        <w:rPr>
          <w:color w:val="252525"/>
          <w:spacing w:val="-3"/>
        </w:rPr>
        <w:t xml:space="preserve"> </w:t>
      </w:r>
      <w:r>
        <w:rPr>
          <w:color w:val="252525"/>
        </w:rPr>
        <w:t>a</w:t>
      </w:r>
      <w:r>
        <w:rPr>
          <w:color w:val="252525"/>
          <w:spacing w:val="-3"/>
        </w:rPr>
        <w:t xml:space="preserve"> </w:t>
      </w:r>
      <w:r>
        <w:rPr>
          <w:color w:val="252525"/>
        </w:rPr>
        <w:t>sudden</w:t>
      </w:r>
      <w:r>
        <w:rPr>
          <w:color w:val="252525"/>
          <w:spacing w:val="-3"/>
        </w:rPr>
        <w:t xml:space="preserve"> </w:t>
      </w:r>
      <w:r>
        <w:rPr>
          <w:color w:val="252525"/>
        </w:rPr>
        <w:t>decline in</w:t>
      </w:r>
      <w:r>
        <w:rPr>
          <w:color w:val="252525"/>
          <w:spacing w:val="-16"/>
        </w:rPr>
        <w:t xml:space="preserve"> </w:t>
      </w:r>
      <w:r>
        <w:rPr>
          <w:color w:val="252525"/>
        </w:rPr>
        <w:t>their</w:t>
      </w:r>
      <w:r>
        <w:rPr>
          <w:color w:val="252525"/>
          <w:spacing w:val="-16"/>
        </w:rPr>
        <w:t xml:space="preserve"> </w:t>
      </w:r>
      <w:r>
        <w:rPr>
          <w:color w:val="252525"/>
        </w:rPr>
        <w:t>incomes</w:t>
      </w:r>
      <w:r>
        <w:rPr>
          <w:color w:val="252525"/>
          <w:spacing w:val="-16"/>
        </w:rPr>
        <w:t xml:space="preserve"> </w:t>
      </w:r>
      <w:r>
        <w:rPr>
          <w:color w:val="252525"/>
        </w:rPr>
        <w:t>than</w:t>
      </w:r>
      <w:r>
        <w:rPr>
          <w:color w:val="252525"/>
          <w:spacing w:val="-15"/>
        </w:rPr>
        <w:t xml:space="preserve"> </w:t>
      </w:r>
      <w:r>
        <w:rPr>
          <w:color w:val="252525"/>
        </w:rPr>
        <w:t>people</w:t>
      </w:r>
      <w:r>
        <w:rPr>
          <w:color w:val="252525"/>
          <w:spacing w:val="-15"/>
        </w:rPr>
        <w:t xml:space="preserve"> </w:t>
      </w:r>
      <w:r>
        <w:rPr>
          <w:color w:val="252525"/>
        </w:rPr>
        <w:t>in</w:t>
      </w:r>
      <w:r>
        <w:rPr>
          <w:color w:val="252525"/>
          <w:spacing w:val="-15"/>
        </w:rPr>
        <w:t xml:space="preserve"> </w:t>
      </w:r>
      <w:r>
        <w:rPr>
          <w:color w:val="252525"/>
        </w:rPr>
        <w:t>older</w:t>
      </w:r>
      <w:r>
        <w:rPr>
          <w:color w:val="252525"/>
          <w:spacing w:val="-16"/>
        </w:rPr>
        <w:t xml:space="preserve"> </w:t>
      </w:r>
      <w:r>
        <w:rPr>
          <w:color w:val="252525"/>
        </w:rPr>
        <w:t>age</w:t>
      </w:r>
      <w:r>
        <w:rPr>
          <w:color w:val="252525"/>
          <w:spacing w:val="-15"/>
        </w:rPr>
        <w:t xml:space="preserve"> </w:t>
      </w:r>
      <w:r>
        <w:rPr>
          <w:color w:val="252525"/>
        </w:rPr>
        <w:t>groups</w:t>
      </w:r>
      <w:r>
        <w:rPr>
          <w:color w:val="252525"/>
          <w:spacing w:val="-16"/>
        </w:rPr>
        <w:t xml:space="preserve"> </w:t>
      </w:r>
      <w:r>
        <w:rPr>
          <w:color w:val="252525"/>
        </w:rPr>
        <w:t>because</w:t>
      </w:r>
      <w:r>
        <w:rPr>
          <w:color w:val="252525"/>
          <w:spacing w:val="-15"/>
        </w:rPr>
        <w:t xml:space="preserve"> </w:t>
      </w:r>
      <w:r>
        <w:rPr>
          <w:color w:val="252525"/>
        </w:rPr>
        <w:t>they</w:t>
      </w:r>
      <w:r>
        <w:rPr>
          <w:color w:val="252525"/>
          <w:spacing w:val="-16"/>
        </w:rPr>
        <w:t xml:space="preserve"> </w:t>
      </w:r>
      <w:r>
        <w:rPr>
          <w:color w:val="252525"/>
        </w:rPr>
        <w:t>are</w:t>
      </w:r>
      <w:r>
        <w:rPr>
          <w:color w:val="252525"/>
          <w:spacing w:val="-15"/>
        </w:rPr>
        <w:t xml:space="preserve"> </w:t>
      </w:r>
      <w:r>
        <w:rPr>
          <w:color w:val="252525"/>
          <w:spacing w:val="2"/>
        </w:rPr>
        <w:t>less</w:t>
      </w:r>
      <w:r>
        <w:rPr>
          <w:color w:val="252525"/>
          <w:spacing w:val="-16"/>
        </w:rPr>
        <w:t xml:space="preserve"> </w:t>
      </w:r>
      <w:r>
        <w:rPr>
          <w:color w:val="252525"/>
        </w:rPr>
        <w:t>likely</w:t>
      </w:r>
      <w:r>
        <w:rPr>
          <w:color w:val="252525"/>
          <w:spacing w:val="-16"/>
        </w:rPr>
        <w:t xml:space="preserve"> </w:t>
      </w:r>
      <w:r>
        <w:rPr>
          <w:color w:val="252525"/>
        </w:rPr>
        <w:t>to</w:t>
      </w:r>
      <w:r>
        <w:rPr>
          <w:color w:val="252525"/>
          <w:spacing w:val="-15"/>
        </w:rPr>
        <w:t xml:space="preserve"> </w:t>
      </w:r>
      <w:r>
        <w:rPr>
          <w:color w:val="252525"/>
        </w:rPr>
        <w:t>have</w:t>
      </w:r>
      <w:r>
        <w:rPr>
          <w:color w:val="252525"/>
          <w:spacing w:val="-15"/>
        </w:rPr>
        <w:t xml:space="preserve"> </w:t>
      </w:r>
      <w:r>
        <w:rPr>
          <w:color w:val="252525"/>
        </w:rPr>
        <w:t xml:space="preserve">enough </w:t>
      </w:r>
      <w:r>
        <w:rPr>
          <w:color w:val="252525"/>
        </w:rPr>
        <w:lastRenderedPageBreak/>
        <w:t>savings to be able to maintain their previous standard of</w:t>
      </w:r>
      <w:r>
        <w:rPr>
          <w:color w:val="252525"/>
          <w:spacing w:val="-18"/>
        </w:rPr>
        <w:t xml:space="preserve"> </w:t>
      </w:r>
      <w:r>
        <w:rPr>
          <w:color w:val="252525"/>
        </w:rPr>
        <w:t>living.</w:t>
      </w:r>
      <w:r>
        <w:rPr>
          <w:rStyle w:val="FootnoteReference"/>
          <w:rFonts w:cs="Arial"/>
          <w:color w:val="252525"/>
        </w:rPr>
        <w:footnoteReference w:id="4"/>
      </w:r>
    </w:p>
    <w:p w:rsidR="00AC4659" w:rsidRDefault="00AC4659" w:rsidP="00CF563E">
      <w:pPr>
        <w:pStyle w:val="BodyText"/>
        <w:spacing w:before="93" w:line="276" w:lineRule="auto"/>
        <w:ind w:right="100"/>
        <w:jc w:val="both"/>
      </w:pPr>
      <w:r>
        <w:rPr>
          <w:color w:val="252525"/>
        </w:rPr>
        <w:t>Finally, we also know that this crisis is likely to have a severe impact upon the housing situation on this age group, as they are more likely to be living in the private rented sector than</w:t>
      </w:r>
      <w:r>
        <w:rPr>
          <w:color w:val="252525"/>
          <w:spacing w:val="-6"/>
        </w:rPr>
        <w:t xml:space="preserve"> </w:t>
      </w:r>
      <w:r>
        <w:rPr>
          <w:color w:val="252525"/>
        </w:rPr>
        <w:t>older</w:t>
      </w:r>
      <w:r>
        <w:rPr>
          <w:color w:val="252525"/>
          <w:spacing w:val="-6"/>
        </w:rPr>
        <w:t xml:space="preserve"> </w:t>
      </w:r>
      <w:r>
        <w:rPr>
          <w:color w:val="252525"/>
        </w:rPr>
        <w:t>households.</w:t>
      </w:r>
      <w:r>
        <w:rPr>
          <w:color w:val="252525"/>
          <w:spacing w:val="-8"/>
        </w:rPr>
        <w:t xml:space="preserve"> </w:t>
      </w:r>
      <w:r>
        <w:rPr>
          <w:color w:val="252525"/>
        </w:rPr>
        <w:t>Although</w:t>
      </w:r>
      <w:r>
        <w:rPr>
          <w:color w:val="252525"/>
          <w:spacing w:val="-6"/>
        </w:rPr>
        <w:t xml:space="preserve"> </w:t>
      </w:r>
      <w:r>
        <w:rPr>
          <w:color w:val="252525"/>
        </w:rPr>
        <w:t>the</w:t>
      </w:r>
      <w:r>
        <w:rPr>
          <w:color w:val="252525"/>
          <w:spacing w:val="-5"/>
        </w:rPr>
        <w:t xml:space="preserve"> </w:t>
      </w:r>
      <w:r>
        <w:rPr>
          <w:color w:val="252525"/>
        </w:rPr>
        <w:t>government</w:t>
      </w:r>
      <w:r>
        <w:rPr>
          <w:color w:val="252525"/>
          <w:spacing w:val="-8"/>
        </w:rPr>
        <w:t xml:space="preserve"> </w:t>
      </w:r>
      <w:r>
        <w:rPr>
          <w:color w:val="252525"/>
        </w:rPr>
        <w:t>has</w:t>
      </w:r>
      <w:r>
        <w:rPr>
          <w:color w:val="252525"/>
          <w:spacing w:val="-6"/>
        </w:rPr>
        <w:t xml:space="preserve"> </w:t>
      </w:r>
      <w:r>
        <w:rPr>
          <w:color w:val="252525"/>
        </w:rPr>
        <w:t>placed</w:t>
      </w:r>
      <w:r>
        <w:rPr>
          <w:color w:val="252525"/>
          <w:spacing w:val="-6"/>
        </w:rPr>
        <w:t xml:space="preserve"> </w:t>
      </w:r>
      <w:r>
        <w:rPr>
          <w:color w:val="252525"/>
        </w:rPr>
        <w:t>a</w:t>
      </w:r>
      <w:r>
        <w:rPr>
          <w:color w:val="252525"/>
          <w:spacing w:val="-5"/>
        </w:rPr>
        <w:t xml:space="preserve"> </w:t>
      </w:r>
      <w:r>
        <w:rPr>
          <w:color w:val="252525"/>
        </w:rPr>
        <w:t>ban</w:t>
      </w:r>
      <w:r>
        <w:rPr>
          <w:color w:val="252525"/>
          <w:spacing w:val="-5"/>
        </w:rPr>
        <w:t xml:space="preserve"> </w:t>
      </w:r>
      <w:r>
        <w:rPr>
          <w:color w:val="252525"/>
        </w:rPr>
        <w:t>on</w:t>
      </w:r>
      <w:r>
        <w:rPr>
          <w:color w:val="252525"/>
          <w:spacing w:val="-5"/>
        </w:rPr>
        <w:t xml:space="preserve"> </w:t>
      </w:r>
      <w:r>
        <w:rPr>
          <w:color w:val="252525"/>
        </w:rPr>
        <w:t>evictions</w:t>
      </w:r>
      <w:r>
        <w:rPr>
          <w:color w:val="252525"/>
          <w:spacing w:val="-7"/>
        </w:rPr>
        <w:t xml:space="preserve"> </w:t>
      </w:r>
      <w:r>
        <w:rPr>
          <w:color w:val="252525"/>
        </w:rPr>
        <w:t>in</w:t>
      </w:r>
      <w:r>
        <w:rPr>
          <w:color w:val="252525"/>
          <w:spacing w:val="-5"/>
        </w:rPr>
        <w:t xml:space="preserve"> </w:t>
      </w:r>
      <w:r>
        <w:rPr>
          <w:color w:val="252525"/>
        </w:rPr>
        <w:t>England, this is currently due to expire on 20 September, and there could be a wave of evictions at that</w:t>
      </w:r>
      <w:r>
        <w:rPr>
          <w:color w:val="252525"/>
          <w:spacing w:val="-8"/>
        </w:rPr>
        <w:t xml:space="preserve"> </w:t>
      </w:r>
      <w:r>
        <w:rPr>
          <w:color w:val="252525"/>
        </w:rPr>
        <w:t>point</w:t>
      </w:r>
      <w:r>
        <w:rPr>
          <w:color w:val="252525"/>
          <w:spacing w:val="-7"/>
        </w:rPr>
        <w:t xml:space="preserve"> </w:t>
      </w:r>
      <w:r>
        <w:rPr>
          <w:color w:val="252525"/>
        </w:rPr>
        <w:t>if</w:t>
      </w:r>
      <w:r>
        <w:rPr>
          <w:color w:val="252525"/>
          <w:spacing w:val="-8"/>
        </w:rPr>
        <w:t xml:space="preserve"> </w:t>
      </w:r>
      <w:r>
        <w:rPr>
          <w:color w:val="252525"/>
        </w:rPr>
        <w:t>large</w:t>
      </w:r>
      <w:r>
        <w:rPr>
          <w:color w:val="252525"/>
          <w:spacing w:val="-4"/>
        </w:rPr>
        <w:t xml:space="preserve"> </w:t>
      </w:r>
      <w:r>
        <w:rPr>
          <w:color w:val="252525"/>
        </w:rPr>
        <w:t>numbers</w:t>
      </w:r>
      <w:r>
        <w:rPr>
          <w:color w:val="252525"/>
          <w:spacing w:val="-6"/>
        </w:rPr>
        <w:t xml:space="preserve"> </w:t>
      </w:r>
      <w:r>
        <w:rPr>
          <w:color w:val="252525"/>
        </w:rPr>
        <w:t>of</w:t>
      </w:r>
      <w:r>
        <w:rPr>
          <w:color w:val="252525"/>
          <w:spacing w:val="-7"/>
        </w:rPr>
        <w:t xml:space="preserve"> </w:t>
      </w:r>
      <w:r>
        <w:rPr>
          <w:color w:val="252525"/>
        </w:rPr>
        <w:t>private</w:t>
      </w:r>
      <w:r>
        <w:rPr>
          <w:color w:val="252525"/>
          <w:spacing w:val="-5"/>
        </w:rPr>
        <w:t xml:space="preserve"> </w:t>
      </w:r>
      <w:r>
        <w:rPr>
          <w:color w:val="252525"/>
        </w:rPr>
        <w:t>renters</w:t>
      </w:r>
      <w:r>
        <w:rPr>
          <w:color w:val="252525"/>
          <w:spacing w:val="-5"/>
        </w:rPr>
        <w:t xml:space="preserve"> </w:t>
      </w:r>
      <w:r>
        <w:rPr>
          <w:color w:val="252525"/>
        </w:rPr>
        <w:t>still</w:t>
      </w:r>
      <w:r>
        <w:rPr>
          <w:color w:val="252525"/>
          <w:spacing w:val="-4"/>
        </w:rPr>
        <w:t xml:space="preserve"> </w:t>
      </w:r>
      <w:r>
        <w:rPr>
          <w:color w:val="252525"/>
        </w:rPr>
        <w:t>cannot</w:t>
      </w:r>
      <w:r>
        <w:rPr>
          <w:color w:val="252525"/>
          <w:spacing w:val="-8"/>
        </w:rPr>
        <w:t xml:space="preserve"> </w:t>
      </w:r>
      <w:r>
        <w:rPr>
          <w:color w:val="252525"/>
        </w:rPr>
        <w:t>afford</w:t>
      </w:r>
      <w:r>
        <w:rPr>
          <w:color w:val="252525"/>
          <w:spacing w:val="-4"/>
        </w:rPr>
        <w:t xml:space="preserve"> </w:t>
      </w:r>
      <w:r>
        <w:rPr>
          <w:color w:val="252525"/>
        </w:rPr>
        <w:t>to</w:t>
      </w:r>
      <w:r>
        <w:rPr>
          <w:color w:val="252525"/>
          <w:spacing w:val="-5"/>
        </w:rPr>
        <w:t xml:space="preserve"> </w:t>
      </w:r>
      <w:r>
        <w:rPr>
          <w:color w:val="252525"/>
        </w:rPr>
        <w:t>pay</w:t>
      </w:r>
      <w:r>
        <w:rPr>
          <w:color w:val="252525"/>
          <w:spacing w:val="-5"/>
        </w:rPr>
        <w:t xml:space="preserve"> </w:t>
      </w:r>
      <w:r>
        <w:rPr>
          <w:color w:val="252525"/>
        </w:rPr>
        <w:t>their</w:t>
      </w:r>
      <w:r>
        <w:rPr>
          <w:color w:val="252525"/>
          <w:spacing w:val="-5"/>
        </w:rPr>
        <w:t xml:space="preserve"> </w:t>
      </w:r>
      <w:r>
        <w:rPr>
          <w:color w:val="252525"/>
        </w:rPr>
        <w:t>rent.</w:t>
      </w:r>
      <w:r>
        <w:rPr>
          <w:color w:val="252525"/>
          <w:spacing w:val="-3"/>
        </w:rPr>
        <w:t xml:space="preserve"> </w:t>
      </w:r>
      <w:r>
        <w:rPr>
          <w:color w:val="252525"/>
        </w:rPr>
        <w:t>Additionally, there</w:t>
      </w:r>
      <w:r>
        <w:rPr>
          <w:color w:val="252525"/>
          <w:spacing w:val="-18"/>
        </w:rPr>
        <w:t xml:space="preserve"> </w:t>
      </w:r>
      <w:r>
        <w:rPr>
          <w:color w:val="252525"/>
        </w:rPr>
        <w:t>is</w:t>
      </w:r>
      <w:r>
        <w:rPr>
          <w:color w:val="252525"/>
          <w:spacing w:val="-18"/>
        </w:rPr>
        <w:t xml:space="preserve"> </w:t>
      </w:r>
      <w:r>
        <w:rPr>
          <w:color w:val="252525"/>
        </w:rPr>
        <w:t>the</w:t>
      </w:r>
      <w:r>
        <w:rPr>
          <w:color w:val="252525"/>
          <w:spacing w:val="-17"/>
        </w:rPr>
        <w:t xml:space="preserve"> </w:t>
      </w:r>
      <w:r>
        <w:rPr>
          <w:color w:val="252525"/>
        </w:rPr>
        <w:t>problem</w:t>
      </w:r>
      <w:r>
        <w:rPr>
          <w:color w:val="252525"/>
          <w:spacing w:val="-18"/>
        </w:rPr>
        <w:t xml:space="preserve"> </w:t>
      </w:r>
      <w:r>
        <w:rPr>
          <w:color w:val="252525"/>
        </w:rPr>
        <w:t>that</w:t>
      </w:r>
      <w:r>
        <w:rPr>
          <w:color w:val="252525"/>
          <w:spacing w:val="-20"/>
        </w:rPr>
        <w:t xml:space="preserve"> </w:t>
      </w:r>
      <w:r>
        <w:rPr>
          <w:color w:val="252525"/>
        </w:rPr>
        <w:t>tenants</w:t>
      </w:r>
      <w:r>
        <w:rPr>
          <w:color w:val="252525"/>
          <w:spacing w:val="-18"/>
        </w:rPr>
        <w:t xml:space="preserve"> </w:t>
      </w:r>
      <w:r>
        <w:rPr>
          <w:color w:val="252525"/>
        </w:rPr>
        <w:t>who’ve</w:t>
      </w:r>
      <w:r>
        <w:rPr>
          <w:color w:val="252525"/>
          <w:spacing w:val="-17"/>
        </w:rPr>
        <w:t xml:space="preserve"> </w:t>
      </w:r>
      <w:r>
        <w:rPr>
          <w:color w:val="252525"/>
        </w:rPr>
        <w:t>been</w:t>
      </w:r>
      <w:r>
        <w:rPr>
          <w:color w:val="252525"/>
          <w:spacing w:val="-17"/>
        </w:rPr>
        <w:t xml:space="preserve"> </w:t>
      </w:r>
      <w:r>
        <w:rPr>
          <w:color w:val="252525"/>
        </w:rPr>
        <w:t>granted</w:t>
      </w:r>
      <w:r>
        <w:rPr>
          <w:color w:val="252525"/>
          <w:spacing w:val="-17"/>
        </w:rPr>
        <w:t xml:space="preserve"> </w:t>
      </w:r>
      <w:r>
        <w:rPr>
          <w:color w:val="252525"/>
        </w:rPr>
        <w:t>rent</w:t>
      </w:r>
      <w:r>
        <w:rPr>
          <w:color w:val="252525"/>
          <w:spacing w:val="-20"/>
        </w:rPr>
        <w:t xml:space="preserve"> </w:t>
      </w:r>
      <w:r>
        <w:rPr>
          <w:color w:val="252525"/>
        </w:rPr>
        <w:t>holidays</w:t>
      </w:r>
      <w:r>
        <w:rPr>
          <w:color w:val="252525"/>
          <w:spacing w:val="-18"/>
        </w:rPr>
        <w:t xml:space="preserve"> </w:t>
      </w:r>
      <w:r>
        <w:rPr>
          <w:color w:val="252525"/>
        </w:rPr>
        <w:t>have</w:t>
      </w:r>
      <w:r>
        <w:rPr>
          <w:color w:val="252525"/>
          <w:spacing w:val="-17"/>
        </w:rPr>
        <w:t xml:space="preserve"> </w:t>
      </w:r>
      <w:r>
        <w:rPr>
          <w:color w:val="252525"/>
        </w:rPr>
        <w:t>been</w:t>
      </w:r>
      <w:r>
        <w:rPr>
          <w:color w:val="252525"/>
          <w:spacing w:val="-18"/>
        </w:rPr>
        <w:t xml:space="preserve"> </w:t>
      </w:r>
      <w:r>
        <w:rPr>
          <w:color w:val="252525"/>
        </w:rPr>
        <w:t>accumulating debts throughout this crisis that they have an obligation to pay back to their landlords in future, which is likely to have a further negative impact on their living</w:t>
      </w:r>
      <w:r>
        <w:rPr>
          <w:color w:val="252525"/>
          <w:spacing w:val="-22"/>
        </w:rPr>
        <w:t xml:space="preserve"> </w:t>
      </w:r>
      <w:r>
        <w:rPr>
          <w:color w:val="252525"/>
        </w:rPr>
        <w:t>standards.</w:t>
      </w:r>
    </w:p>
    <w:p w:rsidR="00AC4659" w:rsidRDefault="00AC4659">
      <w:pPr>
        <w:pStyle w:val="BodyText"/>
        <w:rPr>
          <w:sz w:val="28"/>
        </w:rPr>
      </w:pPr>
    </w:p>
    <w:p w:rsidR="00AC4659" w:rsidRDefault="00AC4659">
      <w:pPr>
        <w:pStyle w:val="BodyText"/>
        <w:spacing w:line="276" w:lineRule="auto"/>
        <w:ind w:left="115" w:right="104"/>
        <w:jc w:val="both"/>
        <w:rPr>
          <w:color w:val="252525"/>
        </w:rPr>
      </w:pPr>
      <w:r>
        <w:rPr>
          <w:color w:val="252525"/>
        </w:rPr>
        <w:t>We also know from our own original research</w:t>
      </w:r>
      <w:r>
        <w:rPr>
          <w:rStyle w:val="FootnoteReference"/>
          <w:rFonts w:cs="Arial"/>
          <w:color w:val="252525"/>
        </w:rPr>
        <w:footnoteReference w:id="5"/>
      </w:r>
      <w:r>
        <w:rPr>
          <w:color w:val="252525"/>
        </w:rPr>
        <w:t xml:space="preserve"> that the COVID-19 crisis has also exposed pre-existing inequalities in the amount of living space which different generations have access</w:t>
      </w:r>
      <w:r>
        <w:rPr>
          <w:color w:val="252525"/>
          <w:spacing w:val="-14"/>
        </w:rPr>
        <w:t xml:space="preserve"> </w:t>
      </w:r>
      <w:r>
        <w:rPr>
          <w:color w:val="252525"/>
        </w:rPr>
        <w:t>to,</w:t>
      </w:r>
      <w:r>
        <w:rPr>
          <w:color w:val="252525"/>
          <w:spacing w:val="-15"/>
        </w:rPr>
        <w:t xml:space="preserve"> </w:t>
      </w:r>
      <w:r>
        <w:rPr>
          <w:color w:val="252525"/>
        </w:rPr>
        <w:t>which</w:t>
      </w:r>
      <w:r>
        <w:rPr>
          <w:color w:val="252525"/>
          <w:spacing w:val="-12"/>
        </w:rPr>
        <w:t xml:space="preserve"> </w:t>
      </w:r>
      <w:r>
        <w:rPr>
          <w:color w:val="252525"/>
        </w:rPr>
        <w:t>is</w:t>
      </w:r>
      <w:r>
        <w:rPr>
          <w:color w:val="252525"/>
          <w:spacing w:val="-14"/>
        </w:rPr>
        <w:t xml:space="preserve"> </w:t>
      </w:r>
      <w:r>
        <w:rPr>
          <w:color w:val="252525"/>
        </w:rPr>
        <w:t>significant</w:t>
      </w:r>
      <w:r>
        <w:rPr>
          <w:color w:val="252525"/>
          <w:spacing w:val="-15"/>
        </w:rPr>
        <w:t xml:space="preserve"> </w:t>
      </w:r>
      <w:r>
        <w:rPr>
          <w:color w:val="252525"/>
        </w:rPr>
        <w:t>given</w:t>
      </w:r>
      <w:r>
        <w:rPr>
          <w:color w:val="252525"/>
          <w:spacing w:val="-12"/>
        </w:rPr>
        <w:t xml:space="preserve"> </w:t>
      </w:r>
      <w:r>
        <w:rPr>
          <w:color w:val="252525"/>
        </w:rPr>
        <w:t>that</w:t>
      </w:r>
      <w:r>
        <w:rPr>
          <w:color w:val="252525"/>
          <w:spacing w:val="-15"/>
        </w:rPr>
        <w:t xml:space="preserve"> </w:t>
      </w:r>
      <w:r>
        <w:rPr>
          <w:color w:val="252525"/>
        </w:rPr>
        <w:t>many</w:t>
      </w:r>
      <w:r>
        <w:rPr>
          <w:color w:val="252525"/>
          <w:spacing w:val="-19"/>
        </w:rPr>
        <w:t xml:space="preserve"> </w:t>
      </w:r>
      <w:r>
        <w:rPr>
          <w:color w:val="252525"/>
        </w:rPr>
        <w:t>households</w:t>
      </w:r>
      <w:r>
        <w:rPr>
          <w:color w:val="252525"/>
          <w:spacing w:val="-18"/>
        </w:rPr>
        <w:t xml:space="preserve"> </w:t>
      </w:r>
      <w:r>
        <w:rPr>
          <w:color w:val="252525"/>
        </w:rPr>
        <w:t>have</w:t>
      </w:r>
      <w:r>
        <w:rPr>
          <w:color w:val="252525"/>
          <w:spacing w:val="-17"/>
        </w:rPr>
        <w:t xml:space="preserve"> </w:t>
      </w:r>
      <w:r>
        <w:rPr>
          <w:color w:val="252525"/>
        </w:rPr>
        <w:t>been</w:t>
      </w:r>
      <w:r>
        <w:rPr>
          <w:color w:val="252525"/>
          <w:spacing w:val="-12"/>
        </w:rPr>
        <w:t xml:space="preserve"> </w:t>
      </w:r>
      <w:r>
        <w:rPr>
          <w:color w:val="252525"/>
        </w:rPr>
        <w:t>spending</w:t>
      </w:r>
      <w:r>
        <w:rPr>
          <w:color w:val="252525"/>
          <w:spacing w:val="-13"/>
        </w:rPr>
        <w:t xml:space="preserve"> </w:t>
      </w:r>
      <w:r>
        <w:rPr>
          <w:color w:val="252525"/>
        </w:rPr>
        <w:t>most</w:t>
      </w:r>
      <w:r>
        <w:rPr>
          <w:color w:val="252525"/>
          <w:spacing w:val="-15"/>
        </w:rPr>
        <w:t xml:space="preserve"> </w:t>
      </w:r>
      <w:r>
        <w:rPr>
          <w:color w:val="252525"/>
        </w:rPr>
        <w:t>of</w:t>
      </w:r>
      <w:r>
        <w:rPr>
          <w:color w:val="252525"/>
          <w:spacing w:val="-15"/>
        </w:rPr>
        <w:t xml:space="preserve"> </w:t>
      </w:r>
      <w:r>
        <w:rPr>
          <w:color w:val="252525"/>
        </w:rPr>
        <w:t>their time at home since the lockdown began. Using data from the English Housing Survey, we found</w:t>
      </w:r>
      <w:r>
        <w:rPr>
          <w:color w:val="252525"/>
          <w:spacing w:val="-12"/>
        </w:rPr>
        <w:t xml:space="preserve"> </w:t>
      </w:r>
      <w:r>
        <w:rPr>
          <w:color w:val="252525"/>
        </w:rPr>
        <w:t>that</w:t>
      </w:r>
      <w:r>
        <w:rPr>
          <w:color w:val="252525"/>
          <w:spacing w:val="-15"/>
        </w:rPr>
        <w:t xml:space="preserve"> </w:t>
      </w:r>
      <w:r>
        <w:rPr>
          <w:color w:val="252525"/>
        </w:rPr>
        <w:t>half</w:t>
      </w:r>
      <w:r>
        <w:rPr>
          <w:color w:val="252525"/>
          <w:spacing w:val="-15"/>
        </w:rPr>
        <w:t xml:space="preserve"> </w:t>
      </w:r>
      <w:r>
        <w:rPr>
          <w:color w:val="252525"/>
        </w:rPr>
        <w:t>of</w:t>
      </w:r>
      <w:r>
        <w:rPr>
          <w:color w:val="252525"/>
          <w:spacing w:val="-14"/>
        </w:rPr>
        <w:t xml:space="preserve"> </w:t>
      </w:r>
      <w:r>
        <w:rPr>
          <w:color w:val="252525"/>
        </w:rPr>
        <w:t>all</w:t>
      </w:r>
      <w:r>
        <w:rPr>
          <w:color w:val="252525"/>
          <w:spacing w:val="-12"/>
        </w:rPr>
        <w:t xml:space="preserve"> </w:t>
      </w:r>
      <w:r>
        <w:rPr>
          <w:color w:val="252525"/>
        </w:rPr>
        <w:t>households</w:t>
      </w:r>
      <w:r>
        <w:rPr>
          <w:color w:val="252525"/>
          <w:spacing w:val="-13"/>
        </w:rPr>
        <w:t xml:space="preserve"> </w:t>
      </w:r>
      <w:r>
        <w:rPr>
          <w:color w:val="252525"/>
        </w:rPr>
        <w:t>in</w:t>
      </w:r>
      <w:r>
        <w:rPr>
          <w:color w:val="252525"/>
          <w:spacing w:val="-12"/>
        </w:rPr>
        <w:t xml:space="preserve"> </w:t>
      </w:r>
      <w:r>
        <w:rPr>
          <w:color w:val="252525"/>
        </w:rPr>
        <w:t>England</w:t>
      </w:r>
      <w:r>
        <w:rPr>
          <w:color w:val="252525"/>
          <w:spacing w:val="-11"/>
        </w:rPr>
        <w:t xml:space="preserve"> </w:t>
      </w:r>
      <w:r>
        <w:rPr>
          <w:color w:val="252525"/>
        </w:rPr>
        <w:t>where</w:t>
      </w:r>
      <w:r>
        <w:rPr>
          <w:color w:val="252525"/>
          <w:spacing w:val="-12"/>
        </w:rPr>
        <w:t xml:space="preserve"> </w:t>
      </w:r>
      <w:r>
        <w:rPr>
          <w:color w:val="252525"/>
        </w:rPr>
        <w:t>the</w:t>
      </w:r>
      <w:r>
        <w:rPr>
          <w:color w:val="252525"/>
          <w:spacing w:val="-12"/>
        </w:rPr>
        <w:t xml:space="preserve"> </w:t>
      </w:r>
      <w:r>
        <w:rPr>
          <w:color w:val="252525"/>
        </w:rPr>
        <w:t>Household</w:t>
      </w:r>
      <w:r>
        <w:rPr>
          <w:color w:val="252525"/>
          <w:spacing w:val="-11"/>
        </w:rPr>
        <w:t xml:space="preserve"> </w:t>
      </w:r>
      <w:r>
        <w:rPr>
          <w:color w:val="252525"/>
        </w:rPr>
        <w:t>Reference</w:t>
      </w:r>
      <w:r>
        <w:rPr>
          <w:color w:val="252525"/>
          <w:spacing w:val="-12"/>
        </w:rPr>
        <w:t xml:space="preserve"> </w:t>
      </w:r>
      <w:r>
        <w:rPr>
          <w:color w:val="252525"/>
        </w:rPr>
        <w:t>Person</w:t>
      </w:r>
      <w:r>
        <w:rPr>
          <w:color w:val="252525"/>
          <w:spacing w:val="-12"/>
        </w:rPr>
        <w:t xml:space="preserve"> </w:t>
      </w:r>
      <w:r>
        <w:rPr>
          <w:color w:val="252525"/>
        </w:rPr>
        <w:t>is</w:t>
      </w:r>
      <w:r>
        <w:rPr>
          <w:color w:val="252525"/>
          <w:spacing w:val="-13"/>
        </w:rPr>
        <w:t xml:space="preserve"> </w:t>
      </w:r>
      <w:r>
        <w:rPr>
          <w:color w:val="252525"/>
        </w:rPr>
        <w:t>aged 16–29</w:t>
      </w:r>
      <w:r>
        <w:rPr>
          <w:color w:val="252525"/>
          <w:spacing w:val="-10"/>
        </w:rPr>
        <w:t xml:space="preserve"> </w:t>
      </w:r>
      <w:r>
        <w:rPr>
          <w:color w:val="252525"/>
        </w:rPr>
        <w:t>have</w:t>
      </w:r>
      <w:r>
        <w:rPr>
          <w:color w:val="252525"/>
          <w:spacing w:val="-10"/>
        </w:rPr>
        <w:t xml:space="preserve"> </w:t>
      </w:r>
      <w:r>
        <w:rPr>
          <w:color w:val="252525"/>
        </w:rPr>
        <w:t>less</w:t>
      </w:r>
      <w:r>
        <w:rPr>
          <w:color w:val="252525"/>
          <w:spacing w:val="-11"/>
        </w:rPr>
        <w:t xml:space="preserve"> </w:t>
      </w:r>
      <w:r>
        <w:rPr>
          <w:color w:val="252525"/>
        </w:rPr>
        <w:t>than</w:t>
      </w:r>
      <w:r>
        <w:rPr>
          <w:color w:val="252525"/>
          <w:spacing w:val="-10"/>
        </w:rPr>
        <w:t xml:space="preserve"> </w:t>
      </w:r>
      <w:r>
        <w:rPr>
          <w:color w:val="252525"/>
        </w:rPr>
        <w:t>29.9</w:t>
      </w:r>
      <w:r>
        <w:rPr>
          <w:color w:val="252525"/>
          <w:spacing w:val="-10"/>
        </w:rPr>
        <w:t xml:space="preserve"> </w:t>
      </w:r>
      <w:r>
        <w:rPr>
          <w:color w:val="252525"/>
        </w:rPr>
        <w:t>square</w:t>
      </w:r>
      <w:r>
        <w:rPr>
          <w:color w:val="252525"/>
          <w:spacing w:val="-10"/>
        </w:rPr>
        <w:t xml:space="preserve"> </w:t>
      </w:r>
      <w:proofErr w:type="spellStart"/>
      <w:r>
        <w:rPr>
          <w:color w:val="252525"/>
        </w:rPr>
        <w:t>metres</w:t>
      </w:r>
      <w:proofErr w:type="spellEnd"/>
      <w:r>
        <w:rPr>
          <w:color w:val="252525"/>
          <w:spacing w:val="-11"/>
        </w:rPr>
        <w:t xml:space="preserve"> </w:t>
      </w:r>
      <w:r>
        <w:rPr>
          <w:color w:val="252525"/>
        </w:rPr>
        <w:t>of</w:t>
      </w:r>
      <w:r>
        <w:rPr>
          <w:color w:val="252525"/>
          <w:spacing w:val="-8"/>
        </w:rPr>
        <w:t xml:space="preserve"> </w:t>
      </w:r>
      <w:r>
        <w:rPr>
          <w:color w:val="252525"/>
        </w:rPr>
        <w:t>living</w:t>
      </w:r>
      <w:r>
        <w:rPr>
          <w:color w:val="252525"/>
          <w:spacing w:val="-10"/>
        </w:rPr>
        <w:t xml:space="preserve"> </w:t>
      </w:r>
      <w:r>
        <w:rPr>
          <w:color w:val="252525"/>
        </w:rPr>
        <w:t>space</w:t>
      </w:r>
      <w:r>
        <w:rPr>
          <w:color w:val="252525"/>
          <w:spacing w:val="-10"/>
        </w:rPr>
        <w:t xml:space="preserve"> </w:t>
      </w:r>
      <w:r>
        <w:rPr>
          <w:color w:val="252525"/>
        </w:rPr>
        <w:t>per</w:t>
      </w:r>
      <w:r>
        <w:rPr>
          <w:color w:val="252525"/>
          <w:spacing w:val="-11"/>
        </w:rPr>
        <w:t xml:space="preserve"> </w:t>
      </w:r>
      <w:r>
        <w:rPr>
          <w:color w:val="252525"/>
        </w:rPr>
        <w:t>person,</w:t>
      </w:r>
      <w:r>
        <w:rPr>
          <w:color w:val="252525"/>
          <w:spacing w:val="-13"/>
        </w:rPr>
        <w:t xml:space="preserve"> </w:t>
      </w:r>
      <w:r>
        <w:rPr>
          <w:color w:val="252525"/>
        </w:rPr>
        <w:t>whereas</w:t>
      </w:r>
      <w:r>
        <w:rPr>
          <w:color w:val="252525"/>
          <w:spacing w:val="-11"/>
        </w:rPr>
        <w:t xml:space="preserve"> </w:t>
      </w:r>
      <w:r>
        <w:rPr>
          <w:color w:val="252525"/>
        </w:rPr>
        <w:t xml:space="preserve">households where </w:t>
      </w:r>
      <w:r>
        <w:rPr>
          <w:color w:val="252525"/>
          <w:spacing w:val="-2"/>
        </w:rPr>
        <w:t xml:space="preserve">the </w:t>
      </w:r>
      <w:r>
        <w:rPr>
          <w:color w:val="252525"/>
        </w:rPr>
        <w:t xml:space="preserve">HRP is aged 65 or over have almost twice as much (57.3 square </w:t>
      </w:r>
      <w:proofErr w:type="spellStart"/>
      <w:r>
        <w:rPr>
          <w:color w:val="252525"/>
        </w:rPr>
        <w:t>metres</w:t>
      </w:r>
      <w:proofErr w:type="spellEnd"/>
      <w:r>
        <w:rPr>
          <w:color w:val="252525"/>
        </w:rPr>
        <w:t xml:space="preserve"> per person).</w:t>
      </w:r>
    </w:p>
    <w:p w:rsidR="00AC4659" w:rsidRDefault="00AC4659">
      <w:pPr>
        <w:pStyle w:val="BodyText"/>
        <w:spacing w:line="276" w:lineRule="auto"/>
        <w:ind w:left="115" w:right="104"/>
        <w:jc w:val="both"/>
      </w:pPr>
    </w:p>
    <w:p w:rsidR="00AC4659" w:rsidRDefault="00AC4659">
      <w:pPr>
        <w:pStyle w:val="Heading1"/>
        <w:numPr>
          <w:ilvl w:val="0"/>
          <w:numId w:val="1"/>
        </w:numPr>
        <w:tabs>
          <w:tab w:val="left" w:pos="476"/>
        </w:tabs>
        <w:ind w:hanging="361"/>
      </w:pPr>
      <w:r>
        <w:t>Seven Proposals for the COVID Generation</w:t>
      </w:r>
    </w:p>
    <w:p w:rsidR="00AC4659" w:rsidRDefault="00AC4659">
      <w:pPr>
        <w:pStyle w:val="BodyText"/>
        <w:spacing w:before="2"/>
        <w:rPr>
          <w:b/>
          <w:sz w:val="31"/>
        </w:rPr>
      </w:pPr>
    </w:p>
    <w:p w:rsidR="00AC4659" w:rsidRDefault="00AC4659">
      <w:pPr>
        <w:pStyle w:val="BodyText"/>
        <w:spacing w:before="1" w:line="276" w:lineRule="auto"/>
        <w:ind w:left="115" w:right="108"/>
        <w:jc w:val="both"/>
        <w:rPr>
          <w:color w:val="252525"/>
        </w:rPr>
      </w:pPr>
      <w:r>
        <w:rPr>
          <w:color w:val="252525"/>
        </w:rPr>
        <w:t>IF would like to present seven policy proposals to support a fairer post-COVID settlement for young people.</w:t>
      </w:r>
    </w:p>
    <w:p w:rsidR="00AC4659" w:rsidRDefault="00AC4659">
      <w:pPr>
        <w:pStyle w:val="BodyText"/>
        <w:spacing w:before="1" w:line="276" w:lineRule="auto"/>
        <w:ind w:left="115" w:right="108"/>
        <w:jc w:val="both"/>
        <w:rPr>
          <w:color w:val="252525"/>
        </w:rPr>
      </w:pPr>
    </w:p>
    <w:p w:rsidR="00AC4659" w:rsidRPr="00DF6076" w:rsidRDefault="00AC4659" w:rsidP="00FC585C">
      <w:pPr>
        <w:pStyle w:val="BodyText"/>
        <w:numPr>
          <w:ilvl w:val="0"/>
          <w:numId w:val="3"/>
        </w:numPr>
        <w:spacing w:before="1" w:line="276" w:lineRule="auto"/>
        <w:ind w:right="108"/>
        <w:jc w:val="both"/>
        <w:rPr>
          <w:b/>
          <w:bCs/>
          <w:color w:val="252525"/>
        </w:rPr>
      </w:pPr>
      <w:r w:rsidRPr="00DF6076">
        <w:rPr>
          <w:b/>
          <w:bCs/>
          <w:color w:val="252525"/>
        </w:rPr>
        <w:t>Invest in young people’s mental health services</w:t>
      </w:r>
    </w:p>
    <w:p w:rsidR="00AC4659" w:rsidRDefault="00AC4659" w:rsidP="00DD31B2">
      <w:pPr>
        <w:pStyle w:val="BodyText"/>
        <w:spacing w:before="1" w:line="276" w:lineRule="auto"/>
        <w:ind w:right="108"/>
        <w:jc w:val="both"/>
        <w:rPr>
          <w:color w:val="252525"/>
        </w:rPr>
      </w:pPr>
    </w:p>
    <w:p w:rsidR="00AC4659" w:rsidRDefault="00AC4659" w:rsidP="00DD31B2">
      <w:pPr>
        <w:pStyle w:val="BodyText"/>
        <w:spacing w:before="1" w:line="276" w:lineRule="auto"/>
        <w:ind w:right="108"/>
        <w:jc w:val="both"/>
        <w:rPr>
          <w:color w:val="252525"/>
        </w:rPr>
      </w:pPr>
      <w:r>
        <w:rPr>
          <w:color w:val="252525"/>
        </w:rPr>
        <w:t>According to ONS figures,</w:t>
      </w:r>
      <w:r>
        <w:rPr>
          <w:rStyle w:val="FootnoteReference"/>
          <w:rFonts w:cs="Arial"/>
          <w:color w:val="252525"/>
        </w:rPr>
        <w:footnoteReference w:id="6"/>
      </w:r>
      <w:r>
        <w:rPr>
          <w:color w:val="252525"/>
        </w:rPr>
        <w:t xml:space="preserve"> the percentage of adults with some form of depression has risen from 9.7% to 19.2% during the pandemic. Unsurprisingly, given the disparate impact of the virus and lockdown, young people have been particularly badly affected, with rates almost trebling from 10.9% to 31% among 16–</w:t>
      </w:r>
      <w:proofErr w:type="gramStart"/>
      <w:r>
        <w:rPr>
          <w:color w:val="252525"/>
        </w:rPr>
        <w:t>39 year-olds</w:t>
      </w:r>
      <w:proofErr w:type="gramEnd"/>
      <w:r>
        <w:rPr>
          <w:color w:val="252525"/>
        </w:rPr>
        <w:t>. Young people were also more likely to develop severe depression during the pandemic than any other age-group. ONS researchers also</w:t>
      </w:r>
      <w:r w:rsidRPr="00EC46F7">
        <w:rPr>
          <w:color w:val="252525"/>
        </w:rPr>
        <w:t xml:space="preserve"> found that adults who experienced depressive symptoms during the COVID-19 pandemic were also more likely than other adults to say they were experiencing high levels of anxiety and loneliness.</w:t>
      </w:r>
      <w:r>
        <w:rPr>
          <w:color w:val="252525"/>
        </w:rPr>
        <w:t xml:space="preserve"> Much of this anxiety is linked to the precarious financial position of young people and worries about whether they will keep their job, how they will find a new one, what welfare </w:t>
      </w:r>
      <w:proofErr w:type="spellStart"/>
      <w:r>
        <w:rPr>
          <w:color w:val="252525"/>
        </w:rPr>
        <w:t>programmes</w:t>
      </w:r>
      <w:proofErr w:type="spellEnd"/>
      <w:r>
        <w:rPr>
          <w:color w:val="252525"/>
        </w:rPr>
        <w:t xml:space="preserve"> they are eligible for and when they will receive their payments, and if they have sufficient savings to cover necessities. </w:t>
      </w:r>
    </w:p>
    <w:p w:rsidR="00AC4659" w:rsidRDefault="00AC4659" w:rsidP="00DD31B2">
      <w:pPr>
        <w:pStyle w:val="BodyText"/>
        <w:spacing w:before="1" w:line="276" w:lineRule="auto"/>
        <w:ind w:right="108"/>
        <w:jc w:val="both"/>
        <w:rPr>
          <w:color w:val="252525"/>
        </w:rPr>
      </w:pPr>
    </w:p>
    <w:p w:rsidR="00AC4659" w:rsidRDefault="00AC4659" w:rsidP="00DD31B2">
      <w:pPr>
        <w:pStyle w:val="BodyText"/>
        <w:spacing w:before="1" w:line="276" w:lineRule="auto"/>
        <w:ind w:right="108"/>
        <w:jc w:val="both"/>
        <w:rPr>
          <w:color w:val="252525"/>
        </w:rPr>
      </w:pPr>
      <w:r>
        <w:rPr>
          <w:color w:val="252525"/>
        </w:rPr>
        <w:t xml:space="preserve">Significant resources are required to tackle these underlying causes of depression, but in the short term, more funding is needed to address the growing mental health crisis. Aside from </w:t>
      </w:r>
      <w:r>
        <w:rPr>
          <w:color w:val="252525"/>
        </w:rPr>
        <w:lastRenderedPageBreak/>
        <w:t xml:space="preserve">considerations about young adults’ wellbeing, there is also a large economic cost associated with mental health problems, that IF has recently investigated. </w:t>
      </w:r>
    </w:p>
    <w:p w:rsidR="00AC4659" w:rsidRDefault="00AC4659" w:rsidP="00DD31B2">
      <w:pPr>
        <w:pStyle w:val="BodyText"/>
        <w:spacing w:before="1" w:line="276" w:lineRule="auto"/>
        <w:ind w:right="108"/>
        <w:jc w:val="both"/>
        <w:rPr>
          <w:color w:val="252525"/>
        </w:rPr>
      </w:pPr>
    </w:p>
    <w:p w:rsidR="00AC4659" w:rsidRDefault="00AC4659" w:rsidP="00DD31B2">
      <w:pPr>
        <w:pStyle w:val="BodyText"/>
        <w:spacing w:before="1" w:line="276" w:lineRule="auto"/>
        <w:ind w:right="108"/>
        <w:jc w:val="both"/>
      </w:pPr>
      <w:r>
        <w:t>Our findings</w:t>
      </w:r>
      <w:r>
        <w:rPr>
          <w:rStyle w:val="FootnoteReference"/>
          <w:rFonts w:cs="Arial"/>
        </w:rPr>
        <w:footnoteReference w:id="7"/>
      </w:r>
      <w:r>
        <w:t xml:space="preserve"> show that a depressed person is expected to cost the government an additional £37,770 as a result of lost tax revenues, increased health service use, social security payments and excess mortality between the ages of 16 and 40. Applying our estimate to an annual birth cohort translates to a total fiscal cost of £2.9 billion between the ages of 16 and 40 for each birth cohort. These figures suggest that there is a strong economic case for increased spending on depression that will enable those with depression to achieve a normal life trajectory. What the government loses in net tax contributions from each depressed person could pay for 35 courses of CBT treatment consisting of 10 sessions of each. If we consider the fiscal loss from the entire cohort, this would be equivalent to paying for 27 million courses of CBT treatment.</w:t>
      </w:r>
    </w:p>
    <w:p w:rsidR="00AC4659" w:rsidRDefault="00AC4659" w:rsidP="00DD31B2">
      <w:pPr>
        <w:pStyle w:val="BodyText"/>
        <w:spacing w:before="1" w:line="276" w:lineRule="auto"/>
        <w:ind w:right="108"/>
        <w:jc w:val="both"/>
      </w:pPr>
    </w:p>
    <w:p w:rsidR="00AC4659" w:rsidRDefault="00AC4659" w:rsidP="0055075A">
      <w:pPr>
        <w:pStyle w:val="BodyText"/>
        <w:spacing w:before="1" w:line="276" w:lineRule="auto"/>
        <w:ind w:right="108"/>
        <w:jc w:val="both"/>
      </w:pPr>
      <w:r>
        <w:t xml:space="preserve">Our results also demonstrate that mitigating the impact of depression on employment outcomes can lead to large reductions in fiscal losses. Depression can lead to </w:t>
      </w:r>
      <w:proofErr w:type="spellStart"/>
      <w:r>
        <w:t>behavioural</w:t>
      </w:r>
      <w:proofErr w:type="spellEnd"/>
      <w:r>
        <w:t xml:space="preserve"> and cognitive changes such as low motivation, stress and low mood, which hinder progressions in employment searches. Most recent estimates suggest that having depression as an adult means you are four times more likely to not be in employment, education or training (NEET), so tackling mental health problems would help the government meet its objective of </w:t>
      </w:r>
      <w:r w:rsidRPr="006D4FA6">
        <w:t xml:space="preserve">strengthening the UK’s economic recovery from COVID-19 by </w:t>
      </w:r>
      <w:r w:rsidRPr="00841A1B">
        <w:rPr>
          <w:lang w:val="en-GB"/>
        </w:rPr>
        <w:t>prioritising</w:t>
      </w:r>
      <w:r w:rsidRPr="006D4FA6">
        <w:t xml:space="preserve"> skills</w:t>
      </w:r>
      <w:r>
        <w:t>. Reducing this impact by half can produce an extra £1.74 billion in net tax contributions, or in other words, retrieve 60% of the total fiscal cost. Conversely, allowing the impact to worsen can potentially inflate the cost up to a value of £5.2 billion.</w:t>
      </w:r>
    </w:p>
    <w:p w:rsidR="00AC4659" w:rsidRDefault="00AC4659" w:rsidP="00DD31B2">
      <w:pPr>
        <w:pStyle w:val="BodyText"/>
        <w:spacing w:before="1" w:line="276" w:lineRule="auto"/>
        <w:ind w:right="108"/>
        <w:jc w:val="both"/>
      </w:pPr>
    </w:p>
    <w:p w:rsidR="00AC4659" w:rsidRDefault="00AC4659" w:rsidP="00DD31B2">
      <w:pPr>
        <w:pStyle w:val="BodyText"/>
        <w:spacing w:before="1" w:line="276" w:lineRule="auto"/>
        <w:ind w:right="108"/>
        <w:jc w:val="both"/>
      </w:pPr>
      <w:r>
        <w:t>Therefore, the fiscal costs of inaction are massive. Addressing the mental health crisis is the only way for the government to deliver on its pledge to initiate an economically sustainable, skill-based recovery.</w:t>
      </w:r>
    </w:p>
    <w:p w:rsidR="00AC4659" w:rsidRDefault="00AC4659" w:rsidP="00DD31B2">
      <w:pPr>
        <w:pStyle w:val="BodyText"/>
        <w:spacing w:before="1" w:line="276" w:lineRule="auto"/>
        <w:ind w:right="108"/>
        <w:jc w:val="both"/>
        <w:rPr>
          <w:color w:val="252525"/>
        </w:rPr>
      </w:pPr>
    </w:p>
    <w:p w:rsidR="00AC4659" w:rsidRPr="008760C4" w:rsidRDefault="00AC4659" w:rsidP="00DD31B2">
      <w:pPr>
        <w:pStyle w:val="BodyText"/>
        <w:spacing w:before="1" w:line="276" w:lineRule="auto"/>
        <w:ind w:right="108"/>
        <w:jc w:val="both"/>
        <w:rPr>
          <w:color w:val="252525"/>
        </w:rPr>
      </w:pPr>
    </w:p>
    <w:p w:rsidR="00AC4659" w:rsidRDefault="00AC4659" w:rsidP="00FC585C">
      <w:pPr>
        <w:pStyle w:val="BodyText"/>
        <w:numPr>
          <w:ilvl w:val="0"/>
          <w:numId w:val="3"/>
        </w:numPr>
        <w:spacing w:before="1" w:line="276" w:lineRule="auto"/>
        <w:ind w:right="108"/>
        <w:jc w:val="both"/>
        <w:rPr>
          <w:b/>
          <w:bCs/>
          <w:color w:val="252525"/>
        </w:rPr>
      </w:pPr>
      <w:r>
        <w:rPr>
          <w:b/>
          <w:bCs/>
          <w:color w:val="252525"/>
        </w:rPr>
        <w:t>Expand social housing to deliver affordable homes</w:t>
      </w:r>
    </w:p>
    <w:p w:rsidR="00AC4659" w:rsidRDefault="00AC4659" w:rsidP="00CA0627">
      <w:pPr>
        <w:pStyle w:val="BodyText"/>
        <w:spacing w:before="1" w:line="276" w:lineRule="auto"/>
        <w:ind w:right="108"/>
        <w:jc w:val="both"/>
        <w:rPr>
          <w:b/>
          <w:bCs/>
          <w:color w:val="252525"/>
        </w:rPr>
      </w:pPr>
    </w:p>
    <w:p w:rsidR="00AC4659" w:rsidRPr="00804C47" w:rsidRDefault="00AC4659" w:rsidP="00804C47">
      <w:pPr>
        <w:pStyle w:val="BodyText"/>
        <w:spacing w:before="1" w:line="276" w:lineRule="auto"/>
        <w:ind w:right="108"/>
        <w:jc w:val="both"/>
        <w:rPr>
          <w:color w:val="252525"/>
        </w:rPr>
      </w:pPr>
      <w:r w:rsidRPr="00804C47">
        <w:rPr>
          <w:color w:val="252525"/>
        </w:rPr>
        <w:t>Housing is one of the key areas of intergenerational inequality in the UK today.</w:t>
      </w:r>
      <w:r>
        <w:rPr>
          <w:color w:val="252525"/>
        </w:rPr>
        <w:t xml:space="preserve"> </w:t>
      </w:r>
      <w:r w:rsidRPr="00804C47">
        <w:rPr>
          <w:color w:val="252525"/>
        </w:rPr>
        <w:t>Most parts of the UK, but especially London and the South East, have seen</w:t>
      </w:r>
      <w:r>
        <w:rPr>
          <w:color w:val="252525"/>
        </w:rPr>
        <w:t xml:space="preserve"> </w:t>
      </w:r>
      <w:r w:rsidRPr="00804C47">
        <w:rPr>
          <w:color w:val="252525"/>
        </w:rPr>
        <w:t>dramatic rises in house prices over the past 25 years which has inevitably</w:t>
      </w:r>
      <w:r>
        <w:rPr>
          <w:color w:val="252525"/>
        </w:rPr>
        <w:t xml:space="preserve"> </w:t>
      </w:r>
      <w:r w:rsidRPr="00804C47">
        <w:rPr>
          <w:color w:val="252525"/>
        </w:rPr>
        <w:t>benefited property-owners at the expense of people who do not own their own</w:t>
      </w:r>
      <w:r>
        <w:rPr>
          <w:color w:val="252525"/>
        </w:rPr>
        <w:t xml:space="preserve"> </w:t>
      </w:r>
      <w:r w:rsidRPr="00804C47">
        <w:rPr>
          <w:color w:val="252525"/>
        </w:rPr>
        <w:t>homes.</w:t>
      </w:r>
    </w:p>
    <w:p w:rsidR="00AC4659" w:rsidRDefault="00AC4659" w:rsidP="00804C47">
      <w:pPr>
        <w:pStyle w:val="BodyText"/>
        <w:spacing w:before="1" w:line="276" w:lineRule="auto"/>
        <w:ind w:right="108"/>
        <w:jc w:val="both"/>
        <w:rPr>
          <w:color w:val="252525"/>
        </w:rPr>
      </w:pPr>
    </w:p>
    <w:p w:rsidR="00AC4659" w:rsidRPr="00804C47" w:rsidRDefault="00AC4659" w:rsidP="00804C47">
      <w:pPr>
        <w:pStyle w:val="BodyText"/>
        <w:spacing w:before="1" w:line="276" w:lineRule="auto"/>
        <w:ind w:right="108"/>
        <w:jc w:val="both"/>
        <w:rPr>
          <w:color w:val="252525"/>
        </w:rPr>
      </w:pPr>
      <w:r w:rsidRPr="00804C47">
        <w:rPr>
          <w:color w:val="252525"/>
        </w:rPr>
        <w:t>This has huge implications for intergenerational equity because property</w:t>
      </w:r>
      <w:r>
        <w:rPr>
          <w:color w:val="252525"/>
        </w:rPr>
        <w:t xml:space="preserve"> </w:t>
      </w:r>
      <w:r w:rsidRPr="00804C47">
        <w:rPr>
          <w:color w:val="252525"/>
        </w:rPr>
        <w:t>owners are disproportionately likely to be older people who got on the housing</w:t>
      </w:r>
      <w:r>
        <w:rPr>
          <w:color w:val="252525"/>
        </w:rPr>
        <w:t xml:space="preserve"> </w:t>
      </w:r>
      <w:r w:rsidRPr="00804C47">
        <w:rPr>
          <w:color w:val="252525"/>
        </w:rPr>
        <w:t>ladder when it was still relatively affordable in the 1970s and 1980s, whereas</w:t>
      </w:r>
      <w:r>
        <w:rPr>
          <w:color w:val="252525"/>
        </w:rPr>
        <w:t xml:space="preserve"> </w:t>
      </w:r>
      <w:r w:rsidRPr="00804C47">
        <w:rPr>
          <w:color w:val="252525"/>
        </w:rPr>
        <w:t>because today’s young adults did not have that opportunity, they must either</w:t>
      </w:r>
      <w:r>
        <w:rPr>
          <w:color w:val="252525"/>
        </w:rPr>
        <w:t xml:space="preserve"> </w:t>
      </w:r>
      <w:r w:rsidRPr="00804C47">
        <w:rPr>
          <w:color w:val="252525"/>
        </w:rPr>
        <w:t>buy or rent their housing in an over-inflated housing market or live with their</w:t>
      </w:r>
      <w:r>
        <w:rPr>
          <w:color w:val="252525"/>
        </w:rPr>
        <w:t xml:space="preserve"> </w:t>
      </w:r>
      <w:r w:rsidRPr="00804C47">
        <w:rPr>
          <w:color w:val="252525"/>
        </w:rPr>
        <w:t xml:space="preserve">parents for much longer than was considered usual by previous </w:t>
      </w:r>
      <w:r w:rsidRPr="00804C47">
        <w:rPr>
          <w:color w:val="252525"/>
        </w:rPr>
        <w:lastRenderedPageBreak/>
        <w:t>generations.</w:t>
      </w:r>
    </w:p>
    <w:p w:rsidR="00AC4659" w:rsidRDefault="00AC4659" w:rsidP="00CA0627">
      <w:pPr>
        <w:pStyle w:val="BodyText"/>
        <w:spacing w:before="1" w:line="276" w:lineRule="auto"/>
        <w:ind w:right="108"/>
        <w:jc w:val="both"/>
        <w:rPr>
          <w:b/>
          <w:bCs/>
          <w:color w:val="252525"/>
        </w:rPr>
      </w:pPr>
    </w:p>
    <w:p w:rsidR="00AC4659" w:rsidRDefault="00AC4659" w:rsidP="00314DE2">
      <w:pPr>
        <w:pStyle w:val="BodyText"/>
        <w:spacing w:before="1" w:line="276" w:lineRule="auto"/>
        <w:ind w:right="108"/>
        <w:jc w:val="both"/>
        <w:rPr>
          <w:color w:val="252525"/>
        </w:rPr>
      </w:pPr>
      <w:r>
        <w:t>IF research</w:t>
      </w:r>
      <w:r>
        <w:rPr>
          <w:rStyle w:val="FootnoteReference"/>
          <w:rFonts w:cs="Arial"/>
        </w:rPr>
        <w:footnoteReference w:id="8"/>
      </w:r>
      <w:r>
        <w:t xml:space="preserve"> </w:t>
      </w:r>
      <w:r>
        <w:rPr>
          <w:color w:val="252525"/>
        </w:rPr>
        <w:t>shows that m</w:t>
      </w:r>
      <w:r w:rsidRPr="00D562E5">
        <w:rPr>
          <w:color w:val="252525"/>
        </w:rPr>
        <w:t xml:space="preserve">ean </w:t>
      </w:r>
      <w:proofErr w:type="spellStart"/>
      <w:r w:rsidRPr="00D562E5">
        <w:rPr>
          <w:color w:val="252525"/>
        </w:rPr>
        <w:t>equivali</w:t>
      </w:r>
      <w:r>
        <w:rPr>
          <w:color w:val="252525"/>
        </w:rPr>
        <w:t>s</w:t>
      </w:r>
      <w:r w:rsidRPr="00D562E5">
        <w:rPr>
          <w:color w:val="252525"/>
        </w:rPr>
        <w:t>ed</w:t>
      </w:r>
      <w:proofErr w:type="spellEnd"/>
      <w:r w:rsidRPr="00D562E5">
        <w:rPr>
          <w:color w:val="252525"/>
        </w:rPr>
        <w:t xml:space="preserve"> expenditure on housing and domestic utilities rose</w:t>
      </w:r>
      <w:r>
        <w:rPr>
          <w:color w:val="252525"/>
        </w:rPr>
        <w:t xml:space="preserve"> </w:t>
      </w:r>
      <w:r w:rsidRPr="00D562E5">
        <w:rPr>
          <w:color w:val="252525"/>
        </w:rPr>
        <w:t>by 17% in real terms between 2001-02 and 2016-17 among households where</w:t>
      </w:r>
      <w:r>
        <w:rPr>
          <w:color w:val="252525"/>
        </w:rPr>
        <w:t xml:space="preserve"> </w:t>
      </w:r>
      <w:r w:rsidRPr="00D562E5">
        <w:rPr>
          <w:color w:val="252525"/>
        </w:rPr>
        <w:t>the HRP was under 35, compared with an increase of only 5% among all</w:t>
      </w:r>
      <w:r>
        <w:rPr>
          <w:color w:val="252525"/>
        </w:rPr>
        <w:t xml:space="preserve"> </w:t>
      </w:r>
      <w:r w:rsidRPr="00D562E5">
        <w:rPr>
          <w:color w:val="252525"/>
        </w:rPr>
        <w:t xml:space="preserve">households overall. This was largely explained by the increasing </w:t>
      </w:r>
      <w:r>
        <w:rPr>
          <w:color w:val="252525"/>
        </w:rPr>
        <w:t>tendency</w:t>
      </w:r>
      <w:r w:rsidRPr="00D562E5">
        <w:rPr>
          <w:color w:val="252525"/>
        </w:rPr>
        <w:t xml:space="preserve"> </w:t>
      </w:r>
      <w:r>
        <w:rPr>
          <w:color w:val="252525"/>
        </w:rPr>
        <w:t xml:space="preserve">for </w:t>
      </w:r>
      <w:r w:rsidRPr="00D562E5">
        <w:rPr>
          <w:color w:val="252525"/>
        </w:rPr>
        <w:t>young adults to live in the private rented sector over this period, which has</w:t>
      </w:r>
      <w:r>
        <w:rPr>
          <w:color w:val="252525"/>
        </w:rPr>
        <w:t xml:space="preserve"> </w:t>
      </w:r>
      <w:r w:rsidRPr="00D562E5">
        <w:rPr>
          <w:color w:val="252525"/>
        </w:rPr>
        <w:t>meant that many of them have not been able to benefit from the reduced cost</w:t>
      </w:r>
      <w:r>
        <w:rPr>
          <w:color w:val="252525"/>
        </w:rPr>
        <w:t xml:space="preserve"> </w:t>
      </w:r>
      <w:r w:rsidRPr="00D562E5">
        <w:rPr>
          <w:color w:val="252525"/>
        </w:rPr>
        <w:t>of servicing a mortgage during an era when interest rates have been extremely</w:t>
      </w:r>
      <w:r>
        <w:rPr>
          <w:color w:val="252525"/>
        </w:rPr>
        <w:t xml:space="preserve"> </w:t>
      </w:r>
      <w:r w:rsidRPr="00D562E5">
        <w:rPr>
          <w:color w:val="252525"/>
        </w:rPr>
        <w:t>low by historical standards.</w:t>
      </w:r>
      <w:r>
        <w:rPr>
          <w:color w:val="252525"/>
        </w:rPr>
        <w:t xml:space="preserve"> As a result, young people in the </w:t>
      </w:r>
      <w:r w:rsidRPr="00314DE2">
        <w:rPr>
          <w:color w:val="252525"/>
        </w:rPr>
        <w:t xml:space="preserve">under-35 age category now devote an average of 63% of their </w:t>
      </w:r>
      <w:proofErr w:type="spellStart"/>
      <w:r w:rsidRPr="00314DE2">
        <w:rPr>
          <w:color w:val="252525"/>
        </w:rPr>
        <w:t>equivali</w:t>
      </w:r>
      <w:r>
        <w:rPr>
          <w:color w:val="252525"/>
        </w:rPr>
        <w:t>s</w:t>
      </w:r>
      <w:r w:rsidRPr="00314DE2">
        <w:rPr>
          <w:color w:val="252525"/>
        </w:rPr>
        <w:t>ed</w:t>
      </w:r>
      <w:proofErr w:type="spellEnd"/>
      <w:r w:rsidRPr="00314DE2">
        <w:rPr>
          <w:color w:val="252525"/>
        </w:rPr>
        <w:t xml:space="preserve"> weekly</w:t>
      </w:r>
      <w:r>
        <w:rPr>
          <w:color w:val="252525"/>
        </w:rPr>
        <w:t xml:space="preserve"> </w:t>
      </w:r>
      <w:r w:rsidRPr="00314DE2">
        <w:rPr>
          <w:color w:val="252525"/>
        </w:rPr>
        <w:t>income on essential goods and services, among which the cost of housing is the</w:t>
      </w:r>
      <w:r>
        <w:rPr>
          <w:color w:val="252525"/>
        </w:rPr>
        <w:t xml:space="preserve"> </w:t>
      </w:r>
      <w:r w:rsidRPr="00314DE2">
        <w:rPr>
          <w:color w:val="252525"/>
        </w:rPr>
        <w:t>single largest item</w:t>
      </w:r>
      <w:r>
        <w:rPr>
          <w:color w:val="252525"/>
        </w:rPr>
        <w:t>.</w:t>
      </w:r>
      <w:r>
        <w:rPr>
          <w:rStyle w:val="FootnoteReference"/>
          <w:rFonts w:cs="Arial"/>
          <w:color w:val="252525"/>
        </w:rPr>
        <w:footnoteReference w:id="9"/>
      </w:r>
    </w:p>
    <w:p w:rsidR="00AC4659" w:rsidRDefault="00AC4659" w:rsidP="00D562E5">
      <w:pPr>
        <w:pStyle w:val="BodyText"/>
        <w:spacing w:before="1" w:line="276" w:lineRule="auto"/>
        <w:ind w:right="108"/>
        <w:jc w:val="both"/>
        <w:rPr>
          <w:color w:val="252525"/>
        </w:rPr>
      </w:pPr>
    </w:p>
    <w:p w:rsidR="00AC4659" w:rsidRDefault="00AC4659" w:rsidP="000F6BCF">
      <w:pPr>
        <w:pStyle w:val="BodyText"/>
        <w:spacing w:before="1" w:line="276" w:lineRule="auto"/>
        <w:ind w:right="108"/>
        <w:jc w:val="both"/>
      </w:pPr>
      <w:r>
        <w:t>In our research paper ‘</w:t>
      </w:r>
      <w:r w:rsidRPr="00E74BFC">
        <w:t>Unlocking England’s Hidden Homes</w:t>
      </w:r>
      <w:r>
        <w:t>’,</w:t>
      </w:r>
      <w:r>
        <w:rPr>
          <w:rStyle w:val="FootnoteReference"/>
          <w:rFonts w:cs="Arial"/>
        </w:rPr>
        <w:footnoteReference w:id="10"/>
      </w:r>
      <w:r>
        <w:t xml:space="preserve"> IF called for the creation of a new householder permitted development right which would enable people living in large homes to subdivide them into multiple smaller properties with only prior approval rather than full planning permission. The report estimated that there could be as many as 4.4 million homes in the country which would be suitable for subdivision, and it would be particularly useful as a means of enabling older people who want a smaller home to “downsize-in-situ” without having to leave their existing communities.</w:t>
      </w:r>
    </w:p>
    <w:p w:rsidR="00AC4659" w:rsidRDefault="00AC4659" w:rsidP="000F6BCF">
      <w:pPr>
        <w:pStyle w:val="BodyText"/>
        <w:spacing w:before="1" w:line="276" w:lineRule="auto"/>
        <w:ind w:right="108"/>
        <w:jc w:val="both"/>
      </w:pPr>
    </w:p>
    <w:p w:rsidR="00AC4659" w:rsidRDefault="00AC4659" w:rsidP="000F6BCF">
      <w:pPr>
        <w:pStyle w:val="BodyText"/>
        <w:spacing w:before="1" w:line="276" w:lineRule="auto"/>
        <w:ind w:right="108"/>
        <w:jc w:val="both"/>
      </w:pPr>
      <w:r>
        <w:t xml:space="preserve">But this alone will not create enough homes to reach the 300,000 </w:t>
      </w:r>
      <w:proofErr w:type="gramStart"/>
      <w:r>
        <w:t>target, or</w:t>
      </w:r>
      <w:proofErr w:type="gramEnd"/>
      <w:r>
        <w:t xml:space="preserve"> put sufficient downward pressure on the private rental market. The last time a government reached anywhere near 300,000 homes a year, 40% were built by councils. The government must stop its reliance on large private sector developers who have so far failed to build the affordable homes young people need: according to </w:t>
      </w:r>
      <w:r w:rsidRPr="00297647">
        <w:t>government figures</w:t>
      </w:r>
      <w:r>
        <w:t>,</w:t>
      </w:r>
      <w:r>
        <w:rPr>
          <w:rStyle w:val="FootnoteReference"/>
          <w:rFonts w:cs="Arial"/>
        </w:rPr>
        <w:footnoteReference w:id="11"/>
      </w:r>
      <w:r>
        <w:t xml:space="preserve"> only 57,825 of the newly built houses in 2019 were affordable for young people. Greater funds should be allocated to councils for housebuilding, potentially sourced from a new local authority housing tax levied on home-owners to replace the </w:t>
      </w:r>
      <w:r w:rsidRPr="00297647">
        <w:t>intergenerationally unfair council tax regime</w:t>
      </w:r>
      <w:r>
        <w:t>.</w:t>
      </w:r>
    </w:p>
    <w:p w:rsidR="00AC4659" w:rsidRPr="008760C4" w:rsidRDefault="00AC4659" w:rsidP="000F6BCF">
      <w:pPr>
        <w:pStyle w:val="BodyText"/>
        <w:spacing w:before="1" w:line="276" w:lineRule="auto"/>
        <w:ind w:right="108"/>
        <w:jc w:val="both"/>
        <w:rPr>
          <w:color w:val="252525"/>
        </w:rPr>
      </w:pPr>
    </w:p>
    <w:p w:rsidR="00AC4659" w:rsidRPr="00B80F34" w:rsidRDefault="00AC4659" w:rsidP="00FC585C">
      <w:pPr>
        <w:pStyle w:val="BodyText"/>
        <w:numPr>
          <w:ilvl w:val="0"/>
          <w:numId w:val="3"/>
        </w:numPr>
        <w:spacing w:before="1" w:line="276" w:lineRule="auto"/>
        <w:ind w:right="108"/>
        <w:jc w:val="both"/>
        <w:rPr>
          <w:b/>
          <w:bCs/>
          <w:color w:val="252525"/>
        </w:rPr>
      </w:pPr>
      <w:r w:rsidRPr="00B80F34">
        <w:rPr>
          <w:b/>
          <w:bCs/>
          <w:color w:val="252525"/>
        </w:rPr>
        <w:t xml:space="preserve">Make the £20/week Universal Credit </w:t>
      </w:r>
      <w:r>
        <w:rPr>
          <w:b/>
          <w:bCs/>
          <w:color w:val="252525"/>
        </w:rPr>
        <w:t>i</w:t>
      </w:r>
      <w:r w:rsidRPr="00B80F34">
        <w:rPr>
          <w:b/>
          <w:bCs/>
          <w:color w:val="252525"/>
        </w:rPr>
        <w:t xml:space="preserve">ncrease </w:t>
      </w:r>
      <w:r>
        <w:rPr>
          <w:b/>
          <w:bCs/>
          <w:color w:val="252525"/>
        </w:rPr>
        <w:t>p</w:t>
      </w:r>
      <w:r w:rsidRPr="00B80F34">
        <w:rPr>
          <w:b/>
          <w:bCs/>
          <w:color w:val="252525"/>
        </w:rPr>
        <w:t>ermanent</w:t>
      </w:r>
    </w:p>
    <w:p w:rsidR="00AC4659" w:rsidRDefault="00AC4659" w:rsidP="00B80F34">
      <w:pPr>
        <w:pStyle w:val="ListParagraph"/>
        <w:rPr>
          <w:color w:val="252525"/>
        </w:rPr>
      </w:pPr>
    </w:p>
    <w:p w:rsidR="00AC4659" w:rsidRDefault="00AC4659" w:rsidP="00B80F34">
      <w:pPr>
        <w:pStyle w:val="BodyText"/>
        <w:spacing w:before="1" w:line="276" w:lineRule="auto"/>
        <w:ind w:right="108"/>
        <w:jc w:val="both"/>
        <w:rPr>
          <w:color w:val="252525"/>
        </w:rPr>
      </w:pPr>
      <w:r>
        <w:rPr>
          <w:color w:val="252525"/>
        </w:rPr>
        <w:t>According to DWP figures,</w:t>
      </w:r>
      <w:r>
        <w:rPr>
          <w:rStyle w:val="FootnoteReference"/>
          <w:rFonts w:cs="Arial"/>
          <w:color w:val="252525"/>
        </w:rPr>
        <w:footnoteReference w:id="12"/>
      </w:r>
      <w:r>
        <w:rPr>
          <w:color w:val="252525"/>
        </w:rPr>
        <w:t xml:space="preserve"> 34% of new Universal Credit claimants are adults aged under 30. As mentioned above, this age-group already spends more on essentials than any other, and they are unlikely to have sufficient savings to support themselves during periods of unemployment. The extra £20 has been a vital lifeline for this age-group to buy food and keep up with rent and utility payments. Removing this lifeline would see thousands of young people fall into poverty and face evictions.</w:t>
      </w:r>
    </w:p>
    <w:p w:rsidR="00AC4659" w:rsidRDefault="00AC4659" w:rsidP="00B80F34">
      <w:pPr>
        <w:pStyle w:val="BodyText"/>
        <w:spacing w:before="1" w:line="276" w:lineRule="auto"/>
        <w:ind w:right="108"/>
        <w:jc w:val="both"/>
        <w:rPr>
          <w:color w:val="252525"/>
        </w:rPr>
      </w:pPr>
    </w:p>
    <w:p w:rsidR="00AC4659" w:rsidRDefault="00AC4659" w:rsidP="00B80F34">
      <w:pPr>
        <w:pStyle w:val="BodyText"/>
        <w:spacing w:before="1" w:line="276" w:lineRule="auto"/>
        <w:ind w:right="108"/>
        <w:jc w:val="both"/>
        <w:rPr>
          <w:color w:val="252525"/>
        </w:rPr>
      </w:pPr>
      <w:r>
        <w:rPr>
          <w:color w:val="252525"/>
        </w:rPr>
        <w:t xml:space="preserve">We also know that financial anxiety is a key determinant of mental health issues such as depression. Withdrawing support </w:t>
      </w:r>
      <w:r w:rsidRPr="00297647">
        <w:t xml:space="preserve">at a time when people’s money worries are at an all-time </w:t>
      </w:r>
      <w:r w:rsidRPr="00297647">
        <w:lastRenderedPageBreak/>
        <w:t>high</w:t>
      </w:r>
      <w:r>
        <w:rPr>
          <w:rStyle w:val="FootnoteReference"/>
          <w:rFonts w:cs="Arial"/>
        </w:rPr>
        <w:footnoteReference w:id="13"/>
      </w:r>
      <w:r>
        <w:rPr>
          <w:color w:val="252525"/>
        </w:rPr>
        <w:t xml:space="preserve"> would put the NHS under huge strain and eat into much of the fiscal benefit of the cut.</w:t>
      </w:r>
    </w:p>
    <w:p w:rsidR="00AC4659" w:rsidRDefault="00AC4659" w:rsidP="00B80F34">
      <w:pPr>
        <w:pStyle w:val="BodyText"/>
        <w:spacing w:before="1" w:line="276" w:lineRule="auto"/>
        <w:ind w:right="108"/>
        <w:jc w:val="both"/>
        <w:rPr>
          <w:color w:val="252525"/>
        </w:rPr>
      </w:pPr>
    </w:p>
    <w:p w:rsidR="00AC4659" w:rsidRDefault="00AC4659" w:rsidP="00B80F34">
      <w:pPr>
        <w:pStyle w:val="BodyText"/>
        <w:spacing w:before="1" w:line="276" w:lineRule="auto"/>
        <w:ind w:right="108"/>
        <w:jc w:val="both"/>
        <w:rPr>
          <w:color w:val="252525"/>
        </w:rPr>
      </w:pPr>
      <w:r>
        <w:rPr>
          <w:color w:val="252525"/>
        </w:rPr>
        <w:t>Allowing huge increases in poverty is also unfair on the next generation. Growing up in poverty has devastating effects on a child’s educational achievements, and employment prospects, so a large increase in poverty would provide a significant obstacle to the government’s levelling-up agenda.</w:t>
      </w:r>
    </w:p>
    <w:p w:rsidR="00AC4659" w:rsidRDefault="00AC4659" w:rsidP="00886108">
      <w:pPr>
        <w:pStyle w:val="ListParagraph"/>
        <w:rPr>
          <w:color w:val="252525"/>
        </w:rPr>
      </w:pPr>
    </w:p>
    <w:p w:rsidR="00AC4659" w:rsidRPr="008760C4" w:rsidRDefault="00AC4659" w:rsidP="00886108">
      <w:pPr>
        <w:pStyle w:val="BodyText"/>
        <w:spacing w:before="1" w:line="276" w:lineRule="auto"/>
        <w:ind w:right="108"/>
        <w:jc w:val="both"/>
        <w:rPr>
          <w:color w:val="252525"/>
        </w:rPr>
      </w:pPr>
    </w:p>
    <w:p w:rsidR="00AC4659" w:rsidRDefault="00AC4659" w:rsidP="00FC585C">
      <w:pPr>
        <w:pStyle w:val="BodyText"/>
        <w:numPr>
          <w:ilvl w:val="0"/>
          <w:numId w:val="3"/>
        </w:numPr>
        <w:spacing w:before="1" w:line="276" w:lineRule="auto"/>
        <w:ind w:right="108"/>
        <w:jc w:val="both"/>
        <w:rPr>
          <w:b/>
          <w:bCs/>
          <w:color w:val="252525"/>
        </w:rPr>
      </w:pPr>
      <w:r>
        <w:rPr>
          <w:b/>
          <w:bCs/>
          <w:color w:val="252525"/>
        </w:rPr>
        <w:t>End the Triple Lock</w:t>
      </w:r>
    </w:p>
    <w:p w:rsidR="00AC4659" w:rsidRDefault="00AC4659" w:rsidP="006A6B23">
      <w:pPr>
        <w:pStyle w:val="BodyText"/>
        <w:spacing w:before="1" w:line="276" w:lineRule="auto"/>
        <w:ind w:right="108"/>
        <w:jc w:val="both"/>
      </w:pPr>
    </w:p>
    <w:p w:rsidR="00AC4659" w:rsidRDefault="00AC4659" w:rsidP="006A6B23">
      <w:pPr>
        <w:pStyle w:val="BodyText"/>
        <w:spacing w:before="1" w:line="276" w:lineRule="auto"/>
        <w:ind w:right="108"/>
        <w:jc w:val="both"/>
      </w:pPr>
      <w:r>
        <w:t>The main criticism of the UK’s current welfare state from an intergenerational perspective is that it redistributes too many resources purely on the basis of age, when there is clear evidence on the changing demographics of poverty in the UK which demonstrates that this is an increasingly inaccurate proxy measure for economic need. Since 1990, pensioner households have gone from being the group with the highest levels of poverty compared to children and working-age households to that with the lowest levels. IF strongly believes that redistributing according to economic need ought to be the guiding principle of any equitable welfare system, so remedying this flaw should be the main focus of future reforms. By contrast, the general direction of welfare reforms over the past decade has substantially increased the real value of pensioner benefits (primarily the state pension through the “Triple Lock”) while benefits for people of working-age have borne the brunt of government austerity measures.</w:t>
      </w:r>
    </w:p>
    <w:p w:rsidR="00AC4659" w:rsidRDefault="00AC4659" w:rsidP="006A6B23">
      <w:pPr>
        <w:pStyle w:val="BodyText"/>
        <w:spacing w:before="1" w:line="276" w:lineRule="auto"/>
        <w:ind w:right="108"/>
        <w:jc w:val="both"/>
      </w:pPr>
    </w:p>
    <w:p w:rsidR="00AC4659" w:rsidRDefault="00AC4659" w:rsidP="006A6B23">
      <w:pPr>
        <w:pStyle w:val="BodyText"/>
        <w:spacing w:before="1" w:line="276" w:lineRule="auto"/>
        <w:ind w:right="108"/>
        <w:jc w:val="both"/>
      </w:pPr>
      <w:r>
        <w:t>IF takes the view that the state pension “Triple Lock” guarantee is unfair on younger generations who have to pay for it, while it is not a particularly effective means of addressing pensioner poverty because of broader flaws with the UK’s state pension system. Research by the Institute for Fiscal Studies indicates that pensioner incomes are likely to continue rising throughout the next decade, as retiring Baby Boomers consume their housing and pension wealth. Therefore, given this long-term shift in the distribution of wealth and income in the UK, IF does not consider it equitable to uprate the Basic State Pension (BSP) more generously than other benefits which go to working-age claimants. The value of the BSP has increased by almost 32% in nominal terms since 2011, whereas CPI growth has been only 24% and average wages increased by just 23% over the same period.</w:t>
      </w:r>
      <w:r>
        <w:rPr>
          <w:rStyle w:val="FootnoteReference"/>
          <w:rFonts w:cs="Arial"/>
        </w:rPr>
        <w:footnoteReference w:id="14"/>
      </w:r>
      <w:r>
        <w:t xml:space="preserve"> From an equity standpoint, it makes sense to uprate the BSP in line with either inflation (to maintain its purchasing power) or earnings (so that it increases at the same rate as the working population’s capacity to pay for it), but increasing it by more than either of these measures is unfair, especially at a time when many working-age benefits have been either frozen or indexed by less than the value of inflation. If the goal of the Triple Lock policy was specifically to ameliorate pensioner poverty, then there are better-targeted methods of doing this.</w:t>
      </w:r>
    </w:p>
    <w:p w:rsidR="00AC4659" w:rsidRPr="008760C4" w:rsidRDefault="00AC4659" w:rsidP="006709AD">
      <w:pPr>
        <w:pStyle w:val="BodyText"/>
        <w:spacing w:before="1" w:line="276" w:lineRule="auto"/>
        <w:ind w:right="108"/>
        <w:jc w:val="both"/>
        <w:rPr>
          <w:color w:val="252525"/>
        </w:rPr>
      </w:pPr>
    </w:p>
    <w:p w:rsidR="00AC4659" w:rsidRPr="00F57F3A" w:rsidRDefault="00AC4659" w:rsidP="00AB1B7E">
      <w:pPr>
        <w:pStyle w:val="BodyText"/>
        <w:numPr>
          <w:ilvl w:val="0"/>
          <w:numId w:val="3"/>
        </w:numPr>
        <w:spacing w:before="1" w:line="276" w:lineRule="auto"/>
        <w:ind w:right="108"/>
        <w:jc w:val="both"/>
        <w:rPr>
          <w:color w:val="252525"/>
        </w:rPr>
      </w:pPr>
      <w:r>
        <w:rPr>
          <w:b/>
          <w:bCs/>
          <w:color w:val="252525"/>
        </w:rPr>
        <w:t>A Green Recovery</w:t>
      </w:r>
    </w:p>
    <w:p w:rsidR="00AC4659" w:rsidRPr="00C64A4C" w:rsidRDefault="00AC4659" w:rsidP="00F57F3A">
      <w:pPr>
        <w:pStyle w:val="BodyText"/>
        <w:spacing w:before="1" w:line="276" w:lineRule="auto"/>
        <w:ind w:right="108"/>
        <w:jc w:val="both"/>
        <w:rPr>
          <w:color w:val="252525"/>
        </w:rPr>
      </w:pPr>
    </w:p>
    <w:p w:rsidR="00AC4659" w:rsidRPr="00ED4A1D" w:rsidRDefault="00AC4659" w:rsidP="00ED4A1D">
      <w:pPr>
        <w:pStyle w:val="BodyText"/>
        <w:spacing w:before="1" w:line="276" w:lineRule="auto"/>
        <w:ind w:right="108"/>
        <w:jc w:val="both"/>
        <w:rPr>
          <w:color w:val="252525"/>
        </w:rPr>
      </w:pPr>
      <w:r w:rsidRPr="00ED4A1D">
        <w:rPr>
          <w:color w:val="252525"/>
        </w:rPr>
        <w:lastRenderedPageBreak/>
        <w:t xml:space="preserve">IF also believes it is important that the UK government </w:t>
      </w:r>
      <w:proofErr w:type="spellStart"/>
      <w:r w:rsidRPr="00ED4A1D">
        <w:rPr>
          <w:color w:val="252525"/>
        </w:rPr>
        <w:t>emphasises</w:t>
      </w:r>
      <w:proofErr w:type="spellEnd"/>
      <w:r w:rsidRPr="00ED4A1D">
        <w:rPr>
          <w:color w:val="252525"/>
        </w:rPr>
        <w:t xml:space="preserve"> the idea of ensuring that</w:t>
      </w:r>
      <w:r>
        <w:rPr>
          <w:color w:val="252525"/>
        </w:rPr>
        <w:t xml:space="preserve"> </w:t>
      </w:r>
      <w:r w:rsidRPr="00ED4A1D">
        <w:rPr>
          <w:color w:val="252525"/>
        </w:rPr>
        <w:t>the UK has a “green recovery” when it comes to thinking about what the future should look</w:t>
      </w:r>
      <w:r>
        <w:rPr>
          <w:color w:val="252525"/>
        </w:rPr>
        <w:t xml:space="preserve"> </w:t>
      </w:r>
      <w:r w:rsidRPr="00ED4A1D">
        <w:rPr>
          <w:color w:val="252525"/>
        </w:rPr>
        <w:t>like. This would mean that the ambition of achieving net zero greenhouse gas emissions by</w:t>
      </w:r>
      <w:r>
        <w:rPr>
          <w:color w:val="252525"/>
        </w:rPr>
        <w:t xml:space="preserve"> </w:t>
      </w:r>
      <w:r w:rsidRPr="00ED4A1D">
        <w:rPr>
          <w:color w:val="252525"/>
        </w:rPr>
        <w:t>2050 should be one of the key targets for the UK’s recovery, which will require targeted</w:t>
      </w:r>
      <w:r>
        <w:rPr>
          <w:color w:val="252525"/>
        </w:rPr>
        <w:t xml:space="preserve"> </w:t>
      </w:r>
      <w:r w:rsidRPr="00ED4A1D">
        <w:rPr>
          <w:color w:val="252525"/>
        </w:rPr>
        <w:t>investments in key areas such as renewable energy, home insulation and electric vehicles.</w:t>
      </w:r>
      <w:r>
        <w:rPr>
          <w:color w:val="252525"/>
        </w:rPr>
        <w:t xml:space="preserve"> </w:t>
      </w:r>
    </w:p>
    <w:p w:rsidR="00AC4659" w:rsidRDefault="00AC4659" w:rsidP="00ED4A1D">
      <w:pPr>
        <w:pStyle w:val="BodyText"/>
        <w:spacing w:before="1" w:line="276" w:lineRule="auto"/>
        <w:ind w:right="108"/>
        <w:jc w:val="both"/>
        <w:rPr>
          <w:color w:val="252525"/>
        </w:rPr>
      </w:pPr>
    </w:p>
    <w:p w:rsidR="00AC4659" w:rsidRDefault="00AC4659" w:rsidP="00ED4A1D">
      <w:pPr>
        <w:pStyle w:val="BodyText"/>
        <w:spacing w:before="1" w:line="276" w:lineRule="auto"/>
        <w:ind w:right="108"/>
        <w:jc w:val="both"/>
        <w:rPr>
          <w:color w:val="252525"/>
        </w:rPr>
      </w:pPr>
      <w:r w:rsidRPr="00ED4A1D">
        <w:rPr>
          <w:color w:val="252525"/>
        </w:rPr>
        <w:t>A key aspect of this strategy would be resisting calls to return to the UK’s pre-COVID</w:t>
      </w:r>
      <w:r>
        <w:rPr>
          <w:color w:val="252525"/>
        </w:rPr>
        <w:t xml:space="preserve"> </w:t>
      </w:r>
      <w:r w:rsidRPr="00ED4A1D">
        <w:rPr>
          <w:color w:val="252525"/>
        </w:rPr>
        <w:t>economy, for example by giving government bailouts to companies in heavily polluting</w:t>
      </w:r>
      <w:r>
        <w:rPr>
          <w:color w:val="252525"/>
        </w:rPr>
        <w:t xml:space="preserve"> </w:t>
      </w:r>
      <w:r w:rsidRPr="00ED4A1D">
        <w:rPr>
          <w:color w:val="252525"/>
        </w:rPr>
        <w:t>sectors such as air travel (which, as previous IF research has shown, is already heavily</w:t>
      </w:r>
      <w:r>
        <w:rPr>
          <w:color w:val="252525"/>
        </w:rPr>
        <w:t xml:space="preserve"> </w:t>
      </w:r>
      <w:proofErr w:type="spellStart"/>
      <w:r w:rsidRPr="00ED4A1D">
        <w:rPr>
          <w:color w:val="252525"/>
        </w:rPr>
        <w:t>subsidised</w:t>
      </w:r>
      <w:proofErr w:type="spellEnd"/>
      <w:r w:rsidRPr="00ED4A1D">
        <w:rPr>
          <w:color w:val="252525"/>
        </w:rPr>
        <w:t xml:space="preserve"> by the taxpayer</w:t>
      </w:r>
      <w:r>
        <w:rPr>
          <w:rStyle w:val="FootnoteReference"/>
          <w:rFonts w:cs="Arial"/>
          <w:color w:val="252525"/>
        </w:rPr>
        <w:footnoteReference w:id="15"/>
      </w:r>
      <w:r w:rsidRPr="00ED4A1D">
        <w:rPr>
          <w:color w:val="252525"/>
        </w:rPr>
        <w:t>). Given that the heavily polluting sectors will no longer be viable</w:t>
      </w:r>
      <w:r>
        <w:rPr>
          <w:color w:val="252525"/>
        </w:rPr>
        <w:t xml:space="preserve"> </w:t>
      </w:r>
      <w:r w:rsidRPr="00ED4A1D">
        <w:rPr>
          <w:color w:val="252525"/>
        </w:rPr>
        <w:t>in a future where the UK achieves its net zero target, bailing out these industries now will</w:t>
      </w:r>
      <w:r>
        <w:rPr>
          <w:color w:val="252525"/>
        </w:rPr>
        <w:t xml:space="preserve"> </w:t>
      </w:r>
      <w:r w:rsidRPr="00ED4A1D">
        <w:rPr>
          <w:color w:val="252525"/>
        </w:rPr>
        <w:t>only postpone the pain which they are likely to suffer at a later date</w:t>
      </w:r>
      <w:r>
        <w:rPr>
          <w:color w:val="252525"/>
        </w:rPr>
        <w:t>.</w:t>
      </w:r>
    </w:p>
    <w:p w:rsidR="00AC4659" w:rsidRDefault="00AC4659" w:rsidP="00ED4A1D">
      <w:pPr>
        <w:pStyle w:val="BodyText"/>
        <w:spacing w:before="1" w:line="276" w:lineRule="auto"/>
        <w:ind w:right="108"/>
        <w:jc w:val="both"/>
        <w:rPr>
          <w:color w:val="252525"/>
        </w:rPr>
      </w:pPr>
    </w:p>
    <w:p w:rsidR="00AC4659" w:rsidRDefault="00AC4659" w:rsidP="00ED4A1D">
      <w:pPr>
        <w:pStyle w:val="BodyText"/>
        <w:spacing w:before="1" w:line="276" w:lineRule="auto"/>
        <w:ind w:right="108"/>
        <w:jc w:val="both"/>
        <w:rPr>
          <w:color w:val="252525"/>
        </w:rPr>
      </w:pPr>
      <w:r>
        <w:rPr>
          <w:color w:val="252525"/>
        </w:rPr>
        <w:t xml:space="preserve">The UK net zero target is commendable, but it has not been matched by concrete policy proposals to meet it. Too often, lack of resources and government capacity have been cited as reasons for not taking the bold steps needed to prevent catastrophe. But the pandemic has revealed these excuses to be illusory; the government needs to finally show a level of ambition that reflects the urgency of the climate crisis. </w:t>
      </w:r>
    </w:p>
    <w:p w:rsidR="00AC4659" w:rsidRDefault="00AC4659" w:rsidP="00ED4A1D">
      <w:pPr>
        <w:pStyle w:val="BodyText"/>
        <w:spacing w:before="1" w:line="276" w:lineRule="auto"/>
        <w:ind w:right="108"/>
        <w:jc w:val="both"/>
        <w:rPr>
          <w:color w:val="252525"/>
        </w:rPr>
      </w:pPr>
    </w:p>
    <w:p w:rsidR="00AC4659" w:rsidRPr="00AA35E0" w:rsidRDefault="00AC4659" w:rsidP="00AA35E0">
      <w:pPr>
        <w:pStyle w:val="BodyText"/>
        <w:numPr>
          <w:ilvl w:val="0"/>
          <w:numId w:val="3"/>
        </w:numPr>
        <w:spacing w:before="1" w:line="276" w:lineRule="auto"/>
        <w:ind w:right="108"/>
        <w:jc w:val="both"/>
        <w:rPr>
          <w:color w:val="252525"/>
        </w:rPr>
      </w:pPr>
      <w:r>
        <w:rPr>
          <w:b/>
          <w:bCs/>
          <w:color w:val="252525"/>
        </w:rPr>
        <w:t>Take action to meet the 2.4% R&amp;D spending target</w:t>
      </w:r>
    </w:p>
    <w:p w:rsidR="00AC4659" w:rsidRDefault="00AC4659" w:rsidP="00AA35E0">
      <w:pPr>
        <w:pStyle w:val="BodyText"/>
        <w:spacing w:before="1" w:line="276" w:lineRule="auto"/>
        <w:ind w:left="115" w:right="108"/>
        <w:jc w:val="both"/>
        <w:rPr>
          <w:color w:val="252525"/>
        </w:rPr>
      </w:pPr>
    </w:p>
    <w:p w:rsidR="00AC4659" w:rsidRDefault="00AC4659" w:rsidP="00AA35E0">
      <w:pPr>
        <w:pStyle w:val="BodyText"/>
        <w:spacing w:before="1" w:line="276" w:lineRule="auto"/>
        <w:ind w:left="115" w:right="108"/>
        <w:jc w:val="both"/>
        <w:rPr>
          <w:color w:val="252525"/>
        </w:rPr>
      </w:pPr>
      <w:r>
        <w:rPr>
          <w:color w:val="252525"/>
        </w:rPr>
        <w:t xml:space="preserve">A crucial part of the green recovery is to increase spending on R&amp;D. Currently the UK lags behind the Czech </w:t>
      </w:r>
      <w:proofErr w:type="spellStart"/>
      <w:r>
        <w:rPr>
          <w:color w:val="252525"/>
        </w:rPr>
        <w:t>Repbulic</w:t>
      </w:r>
      <w:proofErr w:type="spellEnd"/>
      <w:r>
        <w:rPr>
          <w:color w:val="252525"/>
        </w:rPr>
        <w:t xml:space="preserve">, Iceland and Slovenia in R&amp;D spending as a proportion of GDP, and stands at only </w:t>
      </w:r>
      <w:r w:rsidRPr="00B90793">
        <w:t>17</w:t>
      </w:r>
      <w:r w:rsidRPr="00B90793">
        <w:rPr>
          <w:vertAlign w:val="superscript"/>
        </w:rPr>
        <w:t>th</w:t>
      </w:r>
      <w:r w:rsidRPr="00B90793">
        <w:t xml:space="preserve"> in the world</w:t>
      </w:r>
      <w:r>
        <w:t>.</w:t>
      </w:r>
      <w:r>
        <w:rPr>
          <w:rStyle w:val="FootnoteReference"/>
          <w:rFonts w:cs="Arial"/>
        </w:rPr>
        <w:footnoteReference w:id="16"/>
      </w:r>
      <w:r>
        <w:rPr>
          <w:color w:val="252525"/>
        </w:rPr>
        <w:t xml:space="preserve"> At 1.7% of GDP, UK R&amp;D lags almost a third below the 2.4% target, and shows no signs of rising.</w:t>
      </w:r>
    </w:p>
    <w:p w:rsidR="00AC4659" w:rsidRDefault="00AC4659" w:rsidP="00AA35E0">
      <w:pPr>
        <w:pStyle w:val="BodyText"/>
        <w:spacing w:before="1" w:line="276" w:lineRule="auto"/>
        <w:ind w:left="115" w:right="108"/>
        <w:jc w:val="both"/>
        <w:rPr>
          <w:color w:val="252525"/>
        </w:rPr>
      </w:pPr>
    </w:p>
    <w:p w:rsidR="00AC4659" w:rsidRPr="003A7888" w:rsidRDefault="00AC4659" w:rsidP="003A7888">
      <w:pPr>
        <w:pStyle w:val="BodyText"/>
        <w:spacing w:before="1" w:line="276" w:lineRule="auto"/>
        <w:ind w:left="115" w:right="108"/>
        <w:jc w:val="both"/>
        <w:rPr>
          <w:color w:val="252525"/>
        </w:rPr>
      </w:pPr>
      <w:r w:rsidRPr="00C75E11">
        <w:rPr>
          <w:color w:val="252525"/>
        </w:rPr>
        <w:t>IF created an EU Index of intergenerational unfairness</w:t>
      </w:r>
      <w:r>
        <w:rPr>
          <w:rStyle w:val="FootnoteReference"/>
          <w:rFonts w:cs="Arial"/>
          <w:color w:val="252525"/>
        </w:rPr>
        <w:footnoteReference w:id="17"/>
      </w:r>
      <w:r w:rsidRPr="00C75E11">
        <w:rPr>
          <w:color w:val="252525"/>
        </w:rPr>
        <w:t xml:space="preserve"> in 2016 which included an EU-wide</w:t>
      </w:r>
      <w:r>
        <w:rPr>
          <w:color w:val="252525"/>
        </w:rPr>
        <w:t xml:space="preserve"> </w:t>
      </w:r>
      <w:r w:rsidRPr="00C75E11">
        <w:rPr>
          <w:color w:val="252525"/>
        </w:rPr>
        <w:t>comparison of the amount that different member states spend on investment in R&amp;D as a</w:t>
      </w:r>
      <w:r>
        <w:rPr>
          <w:color w:val="252525"/>
        </w:rPr>
        <w:t xml:space="preserve"> </w:t>
      </w:r>
      <w:r w:rsidRPr="00C75E11">
        <w:rPr>
          <w:color w:val="252525"/>
        </w:rPr>
        <w:t>proportion of GDP. This showed that the UK currently spends less on R&amp;D than most EU</w:t>
      </w:r>
      <w:r>
        <w:rPr>
          <w:color w:val="252525"/>
        </w:rPr>
        <w:t xml:space="preserve"> </w:t>
      </w:r>
      <w:r w:rsidRPr="00C75E11">
        <w:rPr>
          <w:color w:val="252525"/>
        </w:rPr>
        <w:t>members, and that the UK’s spend had actually fallen slightly between 2000 and 2013.</w:t>
      </w:r>
      <w:r>
        <w:rPr>
          <w:color w:val="252525"/>
        </w:rPr>
        <w:t xml:space="preserve"> </w:t>
      </w:r>
      <w:r w:rsidRPr="00C75E11">
        <w:rPr>
          <w:color w:val="252525"/>
        </w:rPr>
        <w:t>IF’s EU index drew upon research which showed that the European countries that have the</w:t>
      </w:r>
      <w:r>
        <w:rPr>
          <w:color w:val="252525"/>
        </w:rPr>
        <w:t xml:space="preserve"> </w:t>
      </w:r>
      <w:r w:rsidRPr="00C75E11">
        <w:rPr>
          <w:color w:val="252525"/>
        </w:rPr>
        <w:t>highest levels of R&amp;D investment – led by Finland and Sweden, where it is above 3.3% – tend t</w:t>
      </w:r>
      <w:r>
        <w:rPr>
          <w:color w:val="252525"/>
        </w:rPr>
        <w:t xml:space="preserve">o </w:t>
      </w:r>
      <w:r w:rsidRPr="00C75E11">
        <w:rPr>
          <w:color w:val="252525"/>
        </w:rPr>
        <w:t>have strong private sector R&amp;D investment in addition to generous state funding; this strongly</w:t>
      </w:r>
      <w:r>
        <w:rPr>
          <w:color w:val="252525"/>
        </w:rPr>
        <w:t xml:space="preserve"> </w:t>
      </w:r>
      <w:r w:rsidRPr="00C75E11">
        <w:rPr>
          <w:color w:val="252525"/>
        </w:rPr>
        <w:t xml:space="preserve">suggests that the UK will need to </w:t>
      </w:r>
      <w:proofErr w:type="spellStart"/>
      <w:r w:rsidRPr="00C75E11">
        <w:rPr>
          <w:color w:val="252525"/>
        </w:rPr>
        <w:t>galvani</w:t>
      </w:r>
      <w:r>
        <w:rPr>
          <w:color w:val="252525"/>
        </w:rPr>
        <w:t>s</w:t>
      </w:r>
      <w:r w:rsidRPr="00C75E11">
        <w:rPr>
          <w:color w:val="252525"/>
        </w:rPr>
        <w:t>e</w:t>
      </w:r>
      <w:proofErr w:type="spellEnd"/>
      <w:r w:rsidRPr="00C75E11">
        <w:rPr>
          <w:color w:val="252525"/>
        </w:rPr>
        <w:t xml:space="preserve"> the private sector to invest far more in R&amp;D than it is</w:t>
      </w:r>
      <w:r>
        <w:rPr>
          <w:color w:val="252525"/>
        </w:rPr>
        <w:t xml:space="preserve"> </w:t>
      </w:r>
      <w:r w:rsidRPr="00C75E11">
        <w:rPr>
          <w:color w:val="252525"/>
        </w:rPr>
        <w:t>currently doing.</w:t>
      </w:r>
    </w:p>
    <w:p w:rsidR="00AC4659" w:rsidRPr="008760C4" w:rsidRDefault="00AC4659" w:rsidP="00676623">
      <w:pPr>
        <w:pStyle w:val="BodyText"/>
        <w:spacing w:before="1" w:line="276" w:lineRule="auto"/>
        <w:ind w:left="475" w:right="108"/>
        <w:jc w:val="both"/>
        <w:rPr>
          <w:color w:val="252525"/>
        </w:rPr>
      </w:pPr>
    </w:p>
    <w:p w:rsidR="00AC4659" w:rsidRPr="00E174C2" w:rsidRDefault="00AC4659" w:rsidP="00C00E62">
      <w:pPr>
        <w:pStyle w:val="BodyText"/>
        <w:numPr>
          <w:ilvl w:val="0"/>
          <w:numId w:val="3"/>
        </w:numPr>
        <w:spacing w:before="1" w:line="276" w:lineRule="auto"/>
        <w:ind w:right="108"/>
        <w:jc w:val="both"/>
        <w:rPr>
          <w:color w:val="252525"/>
        </w:rPr>
      </w:pPr>
      <w:r>
        <w:rPr>
          <w:b/>
          <w:bCs/>
          <w:color w:val="252525"/>
        </w:rPr>
        <w:t>Increase the funding of Kickstart placements to 35 hours</w:t>
      </w:r>
    </w:p>
    <w:p w:rsidR="00AC4659" w:rsidRDefault="00AC4659" w:rsidP="00E174C2">
      <w:pPr>
        <w:pStyle w:val="BodyText"/>
        <w:spacing w:before="1" w:line="276" w:lineRule="auto"/>
        <w:ind w:right="108"/>
        <w:jc w:val="both"/>
        <w:rPr>
          <w:color w:val="252525"/>
        </w:rPr>
      </w:pPr>
    </w:p>
    <w:p w:rsidR="00AC4659" w:rsidRDefault="00AC4659" w:rsidP="00E174C2">
      <w:pPr>
        <w:pStyle w:val="BodyText"/>
        <w:spacing w:before="1" w:line="276" w:lineRule="auto"/>
        <w:ind w:right="108"/>
        <w:jc w:val="both"/>
        <w:rPr>
          <w:color w:val="252525"/>
        </w:rPr>
      </w:pPr>
      <w:r>
        <w:rPr>
          <w:color w:val="252525"/>
        </w:rPr>
        <w:t xml:space="preserve">The government’s Kickstart scheme shows a commendable ambition to bring the COVID generation into the workforce and tackle long-term youth unemployment. To fulfil the ambition of delivering a skills-based recovery and extending opportunity all over the UK, it is essential </w:t>
      </w:r>
      <w:r>
        <w:rPr>
          <w:color w:val="252525"/>
        </w:rPr>
        <w:lastRenderedPageBreak/>
        <w:t>that good jobs are available for young people.</w:t>
      </w:r>
    </w:p>
    <w:p w:rsidR="00AC4659" w:rsidRDefault="00AC4659" w:rsidP="00E174C2">
      <w:pPr>
        <w:pStyle w:val="BodyText"/>
        <w:spacing w:before="1" w:line="276" w:lineRule="auto"/>
        <w:ind w:right="108"/>
        <w:jc w:val="both"/>
        <w:rPr>
          <w:color w:val="252525"/>
        </w:rPr>
      </w:pPr>
    </w:p>
    <w:p w:rsidR="00AC4659" w:rsidRPr="00DF6076" w:rsidRDefault="00AC4659" w:rsidP="00DF6076">
      <w:pPr>
        <w:pStyle w:val="BodyText"/>
        <w:spacing w:before="1" w:line="276" w:lineRule="auto"/>
        <w:ind w:right="108"/>
        <w:jc w:val="both"/>
        <w:rPr>
          <w:color w:val="252525"/>
        </w:rPr>
      </w:pPr>
      <w:r>
        <w:rPr>
          <w:color w:val="252525"/>
        </w:rPr>
        <w:t xml:space="preserve">However, the current proposal to fund only 25 hours a </w:t>
      </w:r>
      <w:proofErr w:type="gramStart"/>
      <w:r>
        <w:rPr>
          <w:color w:val="252525"/>
        </w:rPr>
        <w:t>week placements</w:t>
      </w:r>
      <w:proofErr w:type="gramEnd"/>
      <w:r>
        <w:rPr>
          <w:color w:val="252525"/>
        </w:rPr>
        <w:t xml:space="preserve"> is concerning. It encourages businesses to view the scheme participants as work experience trainees and not as full employees, reducing the chance that they will hire them once the scheme ends. Furthermore, due to the requirement that Universal Credit claimants must demonstrate that they are working or looking for work for 35 hours’ work each week, participants in the scheme will have to make up the shortfall of 10 hours in other ways. This means that participants will still have to have constant check-ins with work coaches to prove that they are fulfilling these requirements, further ensnaring them in a system that </w:t>
      </w:r>
      <w:r w:rsidRPr="00B90793">
        <w:t xml:space="preserve">drives a third of </w:t>
      </w:r>
      <w:r>
        <w:t xml:space="preserve">UC </w:t>
      </w:r>
      <w:r w:rsidRPr="00B90793">
        <w:t>claimants into clinical depression</w:t>
      </w:r>
      <w:r>
        <w:rPr>
          <w:color w:val="252525"/>
        </w:rPr>
        <w:t>.</w:t>
      </w:r>
      <w:r>
        <w:rPr>
          <w:rStyle w:val="FootnoteReference"/>
          <w:rFonts w:cs="Arial"/>
          <w:color w:val="252525"/>
        </w:rPr>
        <w:footnoteReference w:id="18"/>
      </w:r>
      <w:r>
        <w:rPr>
          <w:color w:val="252525"/>
        </w:rPr>
        <w:t xml:space="preserve"> 35-hour placements would reduce stress on applicants, and allow them to put all their energies towards making the most of the opportunity, and coming off JSA for good.</w:t>
      </w:r>
    </w:p>
    <w:p w:rsidR="00AC4659" w:rsidRDefault="00AC4659" w:rsidP="00F57F3A">
      <w:pPr>
        <w:pStyle w:val="BodyText"/>
        <w:spacing w:line="273" w:lineRule="auto"/>
        <w:ind w:right="115"/>
        <w:jc w:val="both"/>
        <w:rPr>
          <w:color w:val="252525"/>
        </w:rPr>
      </w:pPr>
    </w:p>
    <w:p w:rsidR="00AC4659" w:rsidRDefault="00AC4659" w:rsidP="00F57F3A">
      <w:pPr>
        <w:pStyle w:val="BodyText"/>
        <w:spacing w:line="273" w:lineRule="auto"/>
        <w:ind w:right="115"/>
        <w:jc w:val="both"/>
        <w:rPr>
          <w:color w:val="252525"/>
        </w:rPr>
      </w:pPr>
    </w:p>
    <w:p w:rsidR="00AC4659" w:rsidRDefault="00AC4659" w:rsidP="00F57F3A">
      <w:pPr>
        <w:pStyle w:val="BodyText"/>
        <w:spacing w:line="273" w:lineRule="auto"/>
        <w:ind w:right="115"/>
        <w:jc w:val="both"/>
        <w:rPr>
          <w:color w:val="252525"/>
        </w:rPr>
      </w:pPr>
    </w:p>
    <w:p w:rsidR="00AC4659" w:rsidRDefault="00AC4659" w:rsidP="00F57F3A">
      <w:pPr>
        <w:pStyle w:val="BodyText"/>
        <w:spacing w:line="273" w:lineRule="auto"/>
        <w:ind w:right="115"/>
        <w:jc w:val="both"/>
      </w:pPr>
      <w:r>
        <w:rPr>
          <w:color w:val="252525"/>
        </w:rPr>
        <w:t>If you would like to learn more about the work of the Intergenerational Foundation please contact:</w:t>
      </w:r>
    </w:p>
    <w:p w:rsidR="00AC4659" w:rsidRDefault="00AC4659">
      <w:pPr>
        <w:pStyle w:val="BodyText"/>
        <w:spacing w:before="10"/>
        <w:rPr>
          <w:sz w:val="27"/>
        </w:rPr>
      </w:pPr>
    </w:p>
    <w:p w:rsidR="00AC4659" w:rsidRDefault="00AC4659">
      <w:pPr>
        <w:pStyle w:val="BodyText"/>
        <w:spacing w:line="278" w:lineRule="auto"/>
        <w:ind w:left="115" w:right="8404"/>
      </w:pPr>
      <w:r>
        <w:rPr>
          <w:color w:val="252525"/>
        </w:rPr>
        <w:t>Liz Emerson Co-Founder</w:t>
      </w:r>
    </w:p>
    <w:p w:rsidR="00AC4659" w:rsidRDefault="00AC4659">
      <w:pPr>
        <w:pStyle w:val="BodyText"/>
        <w:spacing w:line="278" w:lineRule="auto"/>
        <w:ind w:left="115" w:right="7349"/>
      </w:pPr>
      <w:r>
        <w:rPr>
          <w:color w:val="252525"/>
        </w:rPr>
        <w:t xml:space="preserve">Email: </w:t>
      </w:r>
      <w:hyperlink r:id="rId10">
        <w:r>
          <w:rPr>
            <w:color w:val="252525"/>
          </w:rPr>
          <w:t>liz@if.org.uk</w:t>
        </w:r>
      </w:hyperlink>
      <w:r>
        <w:rPr>
          <w:color w:val="252525"/>
        </w:rPr>
        <w:t xml:space="preserve"> Mobile: 07971 228823</w:t>
      </w:r>
    </w:p>
    <w:sectPr w:rsidR="00AC4659" w:rsidSect="003E40E3">
      <w:pgSz w:w="11900" w:h="16840"/>
      <w:pgMar w:top="1660" w:right="1020" w:bottom="900" w:left="1020" w:header="765"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042" w:rsidRDefault="00806042">
      <w:r>
        <w:separator/>
      </w:r>
    </w:p>
  </w:endnote>
  <w:endnote w:type="continuationSeparator" w:id="0">
    <w:p w:rsidR="00806042" w:rsidRDefault="008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659" w:rsidRDefault="00FC013B">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2045970</wp:posOffset>
              </wp:positionH>
              <wp:positionV relativeFrom="page">
                <wp:posOffset>10100945</wp:posOffset>
              </wp:positionV>
              <wp:extent cx="323977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9770" cy="153670"/>
                      </a:xfrm>
                      <a:prstGeom prst="rect">
                        <a:avLst/>
                      </a:prstGeom>
                      <a:noFill/>
                      <a:ln>
                        <a:noFill/>
                      </a:ln>
                    </wps:spPr>
                    <wps:txbx>
                      <w:txbxContent>
                        <w:p w:rsidR="00AC4659" w:rsidRDefault="00AC4659">
                          <w:pPr>
                            <w:spacing w:before="14"/>
                            <w:ind w:left="20"/>
                            <w:rPr>
                              <w:sz w:val="18"/>
                            </w:rPr>
                          </w:pPr>
                          <w:r>
                            <w:rPr>
                              <w:color w:val="808080"/>
                              <w:sz w:val="18"/>
                            </w:rPr>
                            <w:t xml:space="preserve">Intergenerational Foundation </w:t>
                          </w:r>
                          <w:hyperlink r:id="rId1">
                            <w:r>
                              <w:rPr>
                                <w:color w:val="808080"/>
                                <w:sz w:val="18"/>
                                <w:u w:val="single" w:color="000000"/>
                              </w:rPr>
                              <w:t>www.if.org.uk</w:t>
                            </w:r>
                            <w:r>
                              <w:rPr>
                                <w:color w:val="808080"/>
                                <w:sz w:val="18"/>
                              </w:rPr>
                              <w:t xml:space="preserve"> </w:t>
                            </w:r>
                          </w:hyperlink>
                          <w:r>
                            <w:rPr>
                              <w:color w:val="808080"/>
                              <w:sz w:val="18"/>
                            </w:rPr>
                            <w:t>charity no: 1142230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1pt;margin-top:795.35pt;width:255.1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" filled="f" stroked="f">
              <v:textbox inset="0,0,0,0">
                <w:txbxContent>
                  <w:p w:rsidR="00AC4659" w:rsidRDefault="00AC4659">
                    <w:pPr>
                      <w:spacing w:before="14"/>
                      <w:ind w:left="20"/>
                      <w:rPr>
                        <w:sz w:val="18"/>
                      </w:rPr>
                    </w:pPr>
                    <w:r>
                      <w:rPr>
                        <w:color w:val="808080"/>
                        <w:sz w:val="18"/>
                      </w:rPr>
                      <w:t xml:space="preserve">Intergenerational Foundation </w:t>
                    </w:r>
                    <w:hyperlink r:id="rId2">
                      <w:r>
                        <w:rPr>
                          <w:color w:val="808080"/>
                          <w:sz w:val="18"/>
                          <w:u w:val="single" w:color="000000"/>
                        </w:rPr>
                        <w:t>www.if.org.uk</w:t>
                      </w:r>
                      <w:r>
                        <w:rPr>
                          <w:color w:val="808080"/>
                          <w:sz w:val="18"/>
                        </w:rPr>
                        <w:t xml:space="preserve"> </w:t>
                      </w:r>
                    </w:hyperlink>
                    <w:r>
                      <w:rPr>
                        <w:color w:val="808080"/>
                        <w:sz w:val="18"/>
                      </w:rPr>
                      <w:t>charity no: 1142230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6730365</wp:posOffset>
              </wp:positionH>
              <wp:positionV relativeFrom="page">
                <wp:posOffset>10102215</wp:posOffset>
              </wp:positionV>
              <wp:extent cx="147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7640"/>
                      </a:xfrm>
                      <a:prstGeom prst="rect">
                        <a:avLst/>
                      </a:prstGeom>
                      <a:noFill/>
                      <a:ln>
                        <a:noFill/>
                      </a:ln>
                    </wps:spPr>
                    <wps:txbx>
                      <w:txbxContent>
                        <w:p w:rsidR="00AC4659" w:rsidRDefault="00AC4659">
                          <w:pPr>
                            <w:spacing w:before="13"/>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5</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9.95pt;margin-top:795.45pt;width:11.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" filled="f" stroked="f">
              <v:textbox inset="0,0,0,0">
                <w:txbxContent>
                  <w:p w:rsidR="00AC4659" w:rsidRDefault="00AC4659">
                    <w:pPr>
                      <w:spacing w:before="13"/>
                      <w:ind w:left="6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5</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042" w:rsidRDefault="00806042">
      <w:r>
        <w:separator/>
      </w:r>
    </w:p>
  </w:footnote>
  <w:footnote w:type="continuationSeparator" w:id="0">
    <w:p w:rsidR="00806042" w:rsidRDefault="00806042">
      <w:r>
        <w:continuationSeparator/>
      </w:r>
    </w:p>
  </w:footnote>
  <w:footnote w:id="1">
    <w:p w:rsidR="00AC4659" w:rsidRDefault="00AC4659" w:rsidP="001638B7">
      <w:pPr>
        <w:pStyle w:val="FootnoteText"/>
      </w:pPr>
      <w:r>
        <w:rPr>
          <w:rStyle w:val="FootnoteReference"/>
          <w:rFonts w:cs="Arial"/>
        </w:rPr>
        <w:footnoteRef/>
      </w:r>
      <w:r>
        <w:t xml:space="preserve"> Kingman, D. (2019), ‘All Consuming Pressures: the cost of living crisis facing younger generations’, London: IF</w:t>
      </w:r>
    </w:p>
  </w:footnote>
  <w:footnote w:id="2">
    <w:p w:rsidR="00AC4659" w:rsidRDefault="00AC4659">
      <w:pPr>
        <w:pStyle w:val="FootnoteText"/>
      </w:pPr>
      <w:r>
        <w:rPr>
          <w:rStyle w:val="FootnoteReference"/>
          <w:rFonts w:cs="Arial"/>
        </w:rPr>
        <w:footnoteRef/>
      </w:r>
      <w:r>
        <w:t xml:space="preserve"> Office for National Statistics – Labour Force Survey</w:t>
      </w:r>
    </w:p>
  </w:footnote>
  <w:footnote w:id="3">
    <w:p w:rsidR="00AC4659" w:rsidRDefault="00AC4659">
      <w:pPr>
        <w:pStyle w:val="FootnoteText"/>
      </w:pPr>
      <w:r>
        <w:rPr>
          <w:rStyle w:val="FootnoteReference"/>
          <w:rFonts w:cs="Arial"/>
        </w:rPr>
        <w:footnoteRef/>
      </w:r>
      <w:r>
        <w:t xml:space="preserve"> </w:t>
      </w:r>
      <w:r w:rsidRPr="006B145E">
        <w:t>Gustafsson</w:t>
      </w:r>
      <w:r>
        <w:t>, M. (2020),’Young Workers in the Coronavirus Crisis’, London: Resolution Foundation</w:t>
      </w:r>
    </w:p>
  </w:footnote>
  <w:footnote w:id="4">
    <w:p w:rsidR="00AC4659" w:rsidRDefault="00AC4659">
      <w:pPr>
        <w:pStyle w:val="FootnoteText"/>
      </w:pPr>
      <w:r>
        <w:rPr>
          <w:rStyle w:val="FootnoteReference"/>
          <w:rFonts w:cs="Arial"/>
        </w:rPr>
        <w:footnoteRef/>
      </w:r>
      <w:r>
        <w:t xml:space="preserve"> Office for National Statistics – ‘</w:t>
      </w:r>
      <w:r w:rsidRPr="006B145E">
        <w:t>More than one-fifth of usual household spending has been largely prevented during lockdown</w:t>
      </w:r>
      <w:r>
        <w:t>’</w:t>
      </w:r>
    </w:p>
  </w:footnote>
  <w:footnote w:id="5">
    <w:p w:rsidR="00AC4659" w:rsidRDefault="00AC4659">
      <w:pPr>
        <w:pStyle w:val="FootnoteText"/>
      </w:pPr>
      <w:r>
        <w:rPr>
          <w:rStyle w:val="FootnoteReference"/>
          <w:rFonts w:cs="Arial"/>
        </w:rPr>
        <w:footnoteRef/>
      </w:r>
      <w:r>
        <w:t xml:space="preserve"> Kingman, D. (2020), ‘</w:t>
      </w:r>
      <w:r w:rsidRPr="0026415D">
        <w:t>Room to breathe? How the COVID-19 lockdown highlights age inequalities in living space</w:t>
      </w:r>
      <w:r>
        <w:t>’, London: IF</w:t>
      </w:r>
    </w:p>
  </w:footnote>
  <w:footnote w:id="6">
    <w:p w:rsidR="00AC4659" w:rsidRDefault="00AC4659">
      <w:pPr>
        <w:pStyle w:val="FootnoteText"/>
      </w:pPr>
      <w:r>
        <w:rPr>
          <w:rStyle w:val="FootnoteReference"/>
          <w:rFonts w:cs="Arial"/>
        </w:rPr>
        <w:footnoteRef/>
      </w:r>
      <w:r>
        <w:t xml:space="preserve"> Office for National Statistics ‘</w:t>
      </w:r>
      <w:r w:rsidRPr="003F0649">
        <w:t>Coronavirus and depression in adults, Great Britain: June 2020</w:t>
      </w:r>
      <w:r>
        <w:t>’</w:t>
      </w:r>
    </w:p>
  </w:footnote>
  <w:footnote w:id="7">
    <w:p w:rsidR="00AC4659" w:rsidRDefault="00AC4659" w:rsidP="003F0649">
      <w:pPr>
        <w:pStyle w:val="FootnoteText"/>
      </w:pPr>
      <w:r>
        <w:rPr>
          <w:rStyle w:val="FootnoteReference"/>
          <w:rFonts w:cs="Arial"/>
        </w:rPr>
        <w:footnoteRef/>
      </w:r>
      <w:r>
        <w:t xml:space="preserve"> Bui, M. (2020), ‘Costing Young Minds: The fiscal consequences of the lack of spending on young adult mental health’, London: IF</w:t>
      </w:r>
    </w:p>
  </w:footnote>
  <w:footnote w:id="8">
    <w:p w:rsidR="00AC4659" w:rsidRDefault="00AC4659">
      <w:pPr>
        <w:pStyle w:val="FootnoteText"/>
      </w:pPr>
      <w:r>
        <w:rPr>
          <w:rStyle w:val="FootnoteReference"/>
          <w:rFonts w:cs="Arial"/>
        </w:rPr>
        <w:footnoteRef/>
      </w:r>
      <w:r>
        <w:t xml:space="preserve"> Intergenerational Foundation (2019), ‘</w:t>
      </w:r>
      <w:r w:rsidRPr="00E74BFC">
        <w:t>Affordable Housing Commission</w:t>
      </w:r>
      <w:r>
        <w:t xml:space="preserve"> – IF Response’</w:t>
      </w:r>
    </w:p>
  </w:footnote>
  <w:footnote w:id="9">
    <w:p w:rsidR="00AC4659" w:rsidRDefault="00AC4659" w:rsidP="00A62461">
      <w:pPr>
        <w:pStyle w:val="FootnoteText"/>
      </w:pPr>
      <w:r>
        <w:rPr>
          <w:rStyle w:val="FootnoteReference"/>
          <w:rFonts w:cs="Arial"/>
        </w:rPr>
        <w:footnoteRef/>
      </w:r>
      <w:r>
        <w:t xml:space="preserve"> Kingman, D. (2019), ‘All Consuming Pressures: the cost of living crisis facing younger generations’, London: IF</w:t>
      </w:r>
    </w:p>
  </w:footnote>
  <w:footnote w:id="10">
    <w:p w:rsidR="00AC4659" w:rsidRDefault="00AC4659">
      <w:pPr>
        <w:pStyle w:val="FootnoteText"/>
      </w:pPr>
      <w:r>
        <w:rPr>
          <w:rStyle w:val="FootnoteReference"/>
          <w:rFonts w:cs="Arial"/>
        </w:rPr>
        <w:footnoteRef/>
      </w:r>
      <w:r>
        <w:t xml:space="preserve"> Kingman, D. (2016), ‘</w:t>
      </w:r>
      <w:r w:rsidRPr="00E74BFC">
        <w:t>Unlocking England’s Hidden Homes</w:t>
      </w:r>
      <w:r>
        <w:t>’, London: IF</w:t>
      </w:r>
    </w:p>
  </w:footnote>
  <w:footnote w:id="11">
    <w:p w:rsidR="00AC4659" w:rsidRDefault="00AC4659">
      <w:pPr>
        <w:pStyle w:val="FootnoteText"/>
      </w:pPr>
      <w:r>
        <w:rPr>
          <w:rStyle w:val="FootnoteReference"/>
          <w:rFonts w:cs="Arial"/>
        </w:rPr>
        <w:footnoteRef/>
      </w:r>
      <w:r>
        <w:t xml:space="preserve"> Ministry of Housing, Communities and Local Government - </w:t>
      </w:r>
      <w:r w:rsidRPr="00297647">
        <w:t>Live tables on affordable housing supply</w:t>
      </w:r>
    </w:p>
  </w:footnote>
  <w:footnote w:id="12">
    <w:p w:rsidR="00AC4659" w:rsidRDefault="00AC4659">
      <w:pPr>
        <w:pStyle w:val="FootnoteText"/>
      </w:pPr>
      <w:r>
        <w:rPr>
          <w:rStyle w:val="FootnoteReference"/>
          <w:rFonts w:cs="Arial"/>
        </w:rPr>
        <w:footnoteRef/>
      </w:r>
      <w:r>
        <w:t xml:space="preserve"> Department for Work and Pensions – Universal Credit Statistics</w:t>
      </w:r>
    </w:p>
  </w:footnote>
  <w:footnote w:id="13">
    <w:p w:rsidR="00AC4659" w:rsidRDefault="00AC4659">
      <w:pPr>
        <w:pStyle w:val="FootnoteText"/>
      </w:pPr>
      <w:r>
        <w:rPr>
          <w:rStyle w:val="FootnoteReference"/>
          <w:rFonts w:cs="Arial"/>
        </w:rPr>
        <w:footnoteRef/>
      </w:r>
      <w:r>
        <w:t xml:space="preserve"> </w:t>
      </w:r>
      <w:r w:rsidRPr="00297647">
        <w:t>Bareket-Bojmel, Liad et al.</w:t>
      </w:r>
      <w:r>
        <w:t xml:space="preserve"> (2020),</w:t>
      </w:r>
      <w:r w:rsidRPr="00297647">
        <w:t xml:space="preserve"> </w:t>
      </w:r>
      <w:r>
        <w:t>‘</w:t>
      </w:r>
      <w:r w:rsidRPr="00297647">
        <w:t xml:space="preserve">COVID-19-Related Economic Anxiety </w:t>
      </w:r>
      <w:r>
        <w:t>i</w:t>
      </w:r>
      <w:r w:rsidRPr="00297647">
        <w:t>s As High as Health Anxiety: Findings from the USA, the UK, and Israel</w:t>
      </w:r>
      <w:r>
        <w:t>’</w:t>
      </w:r>
      <w:r w:rsidRPr="00297647">
        <w:t xml:space="preserve">. International </w:t>
      </w:r>
      <w:r>
        <w:t>J</w:t>
      </w:r>
      <w:r w:rsidRPr="00297647">
        <w:t xml:space="preserve">ournal of </w:t>
      </w:r>
      <w:r>
        <w:t>C</w:t>
      </w:r>
      <w:r w:rsidRPr="00297647">
        <w:t xml:space="preserve">ognitive </w:t>
      </w:r>
      <w:r>
        <w:t>T</w:t>
      </w:r>
      <w:r w:rsidRPr="00297647">
        <w:t>herapy</w:t>
      </w:r>
    </w:p>
  </w:footnote>
  <w:footnote w:id="14">
    <w:p w:rsidR="00AC4659" w:rsidRDefault="00AC4659">
      <w:pPr>
        <w:pStyle w:val="FootnoteText"/>
      </w:pPr>
      <w:r>
        <w:rPr>
          <w:rStyle w:val="FootnoteReference"/>
          <w:rFonts w:cs="Arial"/>
        </w:rPr>
        <w:footnoteRef/>
      </w:r>
      <w:r>
        <w:t xml:space="preserve"> Thurley, D. (2020), ‘State Pensions Uprating’, House of Commons Library</w:t>
      </w:r>
    </w:p>
  </w:footnote>
  <w:footnote w:id="15">
    <w:p w:rsidR="00AC4659" w:rsidRDefault="00AC4659">
      <w:pPr>
        <w:pStyle w:val="FootnoteText"/>
      </w:pPr>
      <w:r>
        <w:rPr>
          <w:rStyle w:val="FootnoteReference"/>
          <w:rFonts w:cs="Arial"/>
        </w:rPr>
        <w:footnoteRef/>
      </w:r>
      <w:r>
        <w:t xml:space="preserve"> Lockley, P. et al. (2012), ‘Intergenerational Inequities in the Taxation of Air Travel’, London: IF</w:t>
      </w:r>
    </w:p>
  </w:footnote>
  <w:footnote w:id="16">
    <w:p w:rsidR="00AC4659" w:rsidRDefault="00AC4659">
      <w:pPr>
        <w:pStyle w:val="FootnoteText"/>
      </w:pPr>
      <w:r>
        <w:rPr>
          <w:rStyle w:val="FootnoteReference"/>
          <w:rFonts w:cs="Arial"/>
        </w:rPr>
        <w:footnoteRef/>
      </w:r>
      <w:r>
        <w:t xml:space="preserve"> </w:t>
      </w:r>
      <w:r w:rsidRPr="00B90793">
        <w:t>UNESCO Institute for Statistics</w:t>
      </w:r>
      <w:r>
        <w:t xml:space="preserve"> – Science, Technology and Innovation</w:t>
      </w:r>
    </w:p>
  </w:footnote>
  <w:footnote w:id="17">
    <w:p w:rsidR="00AC4659" w:rsidRDefault="00AC4659">
      <w:pPr>
        <w:pStyle w:val="FootnoteText"/>
      </w:pPr>
      <w:r>
        <w:rPr>
          <w:rStyle w:val="FootnoteReference"/>
          <w:rFonts w:cs="Arial"/>
        </w:rPr>
        <w:footnoteRef/>
      </w:r>
      <w:r>
        <w:t xml:space="preserve"> Leach, J. et al. (2016), ‘European Intergenerational Fairness Index: A Crisis for the Young’, London: IF</w:t>
      </w:r>
    </w:p>
  </w:footnote>
  <w:footnote w:id="18">
    <w:p w:rsidR="00AC4659" w:rsidRDefault="00AC4659">
      <w:pPr>
        <w:pStyle w:val="FootnoteText"/>
      </w:pPr>
      <w:r>
        <w:rPr>
          <w:rStyle w:val="FootnoteReference"/>
          <w:rFonts w:cs="Arial"/>
        </w:rPr>
        <w:footnoteRef/>
      </w:r>
      <w:r>
        <w:t xml:space="preserve"> Wickham, S. et al. (2020), ‘</w:t>
      </w:r>
      <w:r w:rsidRPr="00B90793">
        <w:t>Effects on mental health of a UK welfare reform, Universal Credit: a longitudinal controlled study</w:t>
      </w:r>
      <w:r>
        <w:t xml:space="preserve">’, </w:t>
      </w:r>
      <w:r w:rsidRPr="009156A6">
        <w:t>The Lancet Public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659" w:rsidRDefault="00FC013B">
    <w:pPr>
      <w:pStyle w:val="BodyText"/>
      <w:spacing w:line="14" w:lineRule="auto"/>
      <w:rPr>
        <w:sz w:val="20"/>
      </w:rPr>
    </w:pPr>
    <w:r>
      <w:rPr>
        <w:noProof/>
        <w:lang w:val="en-GB" w:eastAsia="en-GB"/>
      </w:rPr>
      <w:drawing>
        <wp:anchor distT="0" distB="0" distL="0" distR="0" simplePos="0" relativeHeight="251660288" behindDoc="1" locked="0" layoutInCell="1" allowOverlap="1">
          <wp:simplePos x="0" y="0"/>
          <wp:positionH relativeFrom="page">
            <wp:posOffset>5468620</wp:posOffset>
          </wp:positionH>
          <wp:positionV relativeFrom="page">
            <wp:posOffset>485775</wp:posOffset>
          </wp:positionV>
          <wp:extent cx="1329690" cy="443865"/>
          <wp:effectExtent l="0" t="0" r="0" b="0"/>
          <wp:wrapNone/>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443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967"/>
    <w:multiLevelType w:val="hybridMultilevel"/>
    <w:tmpl w:val="75BC1C58"/>
    <w:lvl w:ilvl="0" w:tplc="72A8F8EE">
      <w:start w:val="1"/>
      <w:numFmt w:val="decimal"/>
      <w:lvlText w:val="%1."/>
      <w:lvlJc w:val="left"/>
      <w:pPr>
        <w:ind w:left="475" w:hanging="360"/>
      </w:pPr>
      <w:rPr>
        <w:rFonts w:cs="Times New Roman" w:hint="default"/>
      </w:rPr>
    </w:lvl>
    <w:lvl w:ilvl="1" w:tplc="08090019" w:tentative="1">
      <w:start w:val="1"/>
      <w:numFmt w:val="lowerLetter"/>
      <w:lvlText w:val="%2."/>
      <w:lvlJc w:val="left"/>
      <w:pPr>
        <w:ind w:left="1195" w:hanging="360"/>
      </w:pPr>
      <w:rPr>
        <w:rFonts w:cs="Times New Roman"/>
      </w:rPr>
    </w:lvl>
    <w:lvl w:ilvl="2" w:tplc="0809001B" w:tentative="1">
      <w:start w:val="1"/>
      <w:numFmt w:val="lowerRoman"/>
      <w:lvlText w:val="%3."/>
      <w:lvlJc w:val="right"/>
      <w:pPr>
        <w:ind w:left="1915" w:hanging="180"/>
      </w:pPr>
      <w:rPr>
        <w:rFonts w:cs="Times New Roman"/>
      </w:rPr>
    </w:lvl>
    <w:lvl w:ilvl="3" w:tplc="0809000F" w:tentative="1">
      <w:start w:val="1"/>
      <w:numFmt w:val="decimal"/>
      <w:lvlText w:val="%4."/>
      <w:lvlJc w:val="left"/>
      <w:pPr>
        <w:ind w:left="2635" w:hanging="360"/>
      </w:pPr>
      <w:rPr>
        <w:rFonts w:cs="Times New Roman"/>
      </w:rPr>
    </w:lvl>
    <w:lvl w:ilvl="4" w:tplc="08090019" w:tentative="1">
      <w:start w:val="1"/>
      <w:numFmt w:val="lowerLetter"/>
      <w:lvlText w:val="%5."/>
      <w:lvlJc w:val="left"/>
      <w:pPr>
        <w:ind w:left="3355" w:hanging="360"/>
      </w:pPr>
      <w:rPr>
        <w:rFonts w:cs="Times New Roman"/>
      </w:rPr>
    </w:lvl>
    <w:lvl w:ilvl="5" w:tplc="0809001B" w:tentative="1">
      <w:start w:val="1"/>
      <w:numFmt w:val="lowerRoman"/>
      <w:lvlText w:val="%6."/>
      <w:lvlJc w:val="right"/>
      <w:pPr>
        <w:ind w:left="4075" w:hanging="180"/>
      </w:pPr>
      <w:rPr>
        <w:rFonts w:cs="Times New Roman"/>
      </w:rPr>
    </w:lvl>
    <w:lvl w:ilvl="6" w:tplc="0809000F" w:tentative="1">
      <w:start w:val="1"/>
      <w:numFmt w:val="decimal"/>
      <w:lvlText w:val="%7."/>
      <w:lvlJc w:val="left"/>
      <w:pPr>
        <w:ind w:left="4795" w:hanging="360"/>
      </w:pPr>
      <w:rPr>
        <w:rFonts w:cs="Times New Roman"/>
      </w:rPr>
    </w:lvl>
    <w:lvl w:ilvl="7" w:tplc="08090019" w:tentative="1">
      <w:start w:val="1"/>
      <w:numFmt w:val="lowerLetter"/>
      <w:lvlText w:val="%8."/>
      <w:lvlJc w:val="left"/>
      <w:pPr>
        <w:ind w:left="5515" w:hanging="360"/>
      </w:pPr>
      <w:rPr>
        <w:rFonts w:cs="Times New Roman"/>
      </w:rPr>
    </w:lvl>
    <w:lvl w:ilvl="8" w:tplc="0809001B" w:tentative="1">
      <w:start w:val="1"/>
      <w:numFmt w:val="lowerRoman"/>
      <w:lvlText w:val="%9."/>
      <w:lvlJc w:val="right"/>
      <w:pPr>
        <w:ind w:left="6235" w:hanging="180"/>
      </w:pPr>
      <w:rPr>
        <w:rFonts w:cs="Times New Roman"/>
      </w:rPr>
    </w:lvl>
  </w:abstractNum>
  <w:abstractNum w:abstractNumId="1" w15:restartNumberingAfterBreak="0">
    <w:nsid w:val="5959777E"/>
    <w:multiLevelType w:val="hybridMultilevel"/>
    <w:tmpl w:val="0106A664"/>
    <w:lvl w:ilvl="0" w:tplc="08090017">
      <w:start w:val="1"/>
      <w:numFmt w:val="lowerLetter"/>
      <w:lvlText w:val="%1)"/>
      <w:lvlJc w:val="left"/>
      <w:pPr>
        <w:ind w:left="475" w:hanging="360"/>
      </w:pPr>
      <w:rPr>
        <w:rFonts w:cs="Times New Roman" w:hint="default"/>
        <w:b/>
        <w:bCs/>
        <w:color w:val="252525"/>
        <w:spacing w:val="0"/>
        <w:w w:val="99"/>
        <w:sz w:val="24"/>
        <w:szCs w:val="24"/>
      </w:rPr>
    </w:lvl>
    <w:lvl w:ilvl="1" w:tplc="62E42478">
      <w:numFmt w:val="bullet"/>
      <w:lvlText w:val="•"/>
      <w:lvlJc w:val="left"/>
      <w:pPr>
        <w:ind w:left="1418" w:hanging="360"/>
      </w:pPr>
      <w:rPr>
        <w:rFonts w:hint="default"/>
      </w:rPr>
    </w:lvl>
    <w:lvl w:ilvl="2" w:tplc="60E0EB50">
      <w:numFmt w:val="bullet"/>
      <w:lvlText w:val="•"/>
      <w:lvlJc w:val="left"/>
      <w:pPr>
        <w:ind w:left="2356" w:hanging="360"/>
      </w:pPr>
      <w:rPr>
        <w:rFonts w:hint="default"/>
      </w:rPr>
    </w:lvl>
    <w:lvl w:ilvl="3" w:tplc="DCE48F3E">
      <w:numFmt w:val="bullet"/>
      <w:lvlText w:val="•"/>
      <w:lvlJc w:val="left"/>
      <w:pPr>
        <w:ind w:left="3294" w:hanging="360"/>
      </w:pPr>
      <w:rPr>
        <w:rFonts w:hint="default"/>
      </w:rPr>
    </w:lvl>
    <w:lvl w:ilvl="4" w:tplc="DB40D202">
      <w:numFmt w:val="bullet"/>
      <w:lvlText w:val="•"/>
      <w:lvlJc w:val="left"/>
      <w:pPr>
        <w:ind w:left="4232" w:hanging="360"/>
      </w:pPr>
      <w:rPr>
        <w:rFonts w:hint="default"/>
      </w:rPr>
    </w:lvl>
    <w:lvl w:ilvl="5" w:tplc="357C2A6C">
      <w:numFmt w:val="bullet"/>
      <w:lvlText w:val="•"/>
      <w:lvlJc w:val="left"/>
      <w:pPr>
        <w:ind w:left="5170" w:hanging="360"/>
      </w:pPr>
      <w:rPr>
        <w:rFonts w:hint="default"/>
      </w:rPr>
    </w:lvl>
    <w:lvl w:ilvl="6" w:tplc="F3EEB056">
      <w:numFmt w:val="bullet"/>
      <w:lvlText w:val="•"/>
      <w:lvlJc w:val="left"/>
      <w:pPr>
        <w:ind w:left="6108" w:hanging="360"/>
      </w:pPr>
      <w:rPr>
        <w:rFonts w:hint="default"/>
      </w:rPr>
    </w:lvl>
    <w:lvl w:ilvl="7" w:tplc="5FE07400">
      <w:numFmt w:val="bullet"/>
      <w:lvlText w:val="•"/>
      <w:lvlJc w:val="left"/>
      <w:pPr>
        <w:ind w:left="7046" w:hanging="360"/>
      </w:pPr>
      <w:rPr>
        <w:rFonts w:hint="default"/>
      </w:rPr>
    </w:lvl>
    <w:lvl w:ilvl="8" w:tplc="84A639A2">
      <w:numFmt w:val="bullet"/>
      <w:lvlText w:val="•"/>
      <w:lvlJc w:val="left"/>
      <w:pPr>
        <w:ind w:left="7984" w:hanging="360"/>
      </w:pPr>
      <w:rPr>
        <w:rFonts w:hint="default"/>
      </w:rPr>
    </w:lvl>
  </w:abstractNum>
  <w:abstractNum w:abstractNumId="2" w15:restartNumberingAfterBreak="0">
    <w:nsid w:val="5C9F10BA"/>
    <w:multiLevelType w:val="hybridMultilevel"/>
    <w:tmpl w:val="4B0C5F1A"/>
    <w:lvl w:ilvl="0" w:tplc="11E624BC">
      <w:start w:val="1"/>
      <w:numFmt w:val="decimal"/>
      <w:lvlText w:val="%1."/>
      <w:lvlJc w:val="left"/>
      <w:pPr>
        <w:ind w:left="475"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F0"/>
    <w:rsid w:val="0000081C"/>
    <w:rsid w:val="000060AC"/>
    <w:rsid w:val="0003292D"/>
    <w:rsid w:val="000415F5"/>
    <w:rsid w:val="00046EF2"/>
    <w:rsid w:val="00051885"/>
    <w:rsid w:val="0005681B"/>
    <w:rsid w:val="00062827"/>
    <w:rsid w:val="00065D31"/>
    <w:rsid w:val="000902CA"/>
    <w:rsid w:val="00090D92"/>
    <w:rsid w:val="00092556"/>
    <w:rsid w:val="000A115F"/>
    <w:rsid w:val="000B32FE"/>
    <w:rsid w:val="000C033D"/>
    <w:rsid w:val="000C12FC"/>
    <w:rsid w:val="000E4B31"/>
    <w:rsid w:val="000F6BCF"/>
    <w:rsid w:val="0011220B"/>
    <w:rsid w:val="00120C4B"/>
    <w:rsid w:val="00126939"/>
    <w:rsid w:val="001310A4"/>
    <w:rsid w:val="00145EB9"/>
    <w:rsid w:val="001638B7"/>
    <w:rsid w:val="001737B5"/>
    <w:rsid w:val="0018645B"/>
    <w:rsid w:val="00187ED6"/>
    <w:rsid w:val="001B67DA"/>
    <w:rsid w:val="001B7C08"/>
    <w:rsid w:val="001C05A1"/>
    <w:rsid w:val="001E3A54"/>
    <w:rsid w:val="001F1810"/>
    <w:rsid w:val="0021005B"/>
    <w:rsid w:val="00221D41"/>
    <w:rsid w:val="002267BD"/>
    <w:rsid w:val="0026415D"/>
    <w:rsid w:val="00280E57"/>
    <w:rsid w:val="00297647"/>
    <w:rsid w:val="002C7D8E"/>
    <w:rsid w:val="00314DE2"/>
    <w:rsid w:val="003153F1"/>
    <w:rsid w:val="00332F03"/>
    <w:rsid w:val="003430A5"/>
    <w:rsid w:val="0034362E"/>
    <w:rsid w:val="003457BF"/>
    <w:rsid w:val="003752A5"/>
    <w:rsid w:val="003753A4"/>
    <w:rsid w:val="00390207"/>
    <w:rsid w:val="00395C70"/>
    <w:rsid w:val="003A1D91"/>
    <w:rsid w:val="003A3375"/>
    <w:rsid w:val="003A4E1C"/>
    <w:rsid w:val="003A60CF"/>
    <w:rsid w:val="003A7888"/>
    <w:rsid w:val="003C1E87"/>
    <w:rsid w:val="003C3CC1"/>
    <w:rsid w:val="003D6A02"/>
    <w:rsid w:val="003E2ABE"/>
    <w:rsid w:val="003E40E3"/>
    <w:rsid w:val="003F0649"/>
    <w:rsid w:val="003F1B13"/>
    <w:rsid w:val="003F2EE6"/>
    <w:rsid w:val="004079E7"/>
    <w:rsid w:val="00427635"/>
    <w:rsid w:val="00432CF0"/>
    <w:rsid w:val="00443D22"/>
    <w:rsid w:val="00445107"/>
    <w:rsid w:val="00481853"/>
    <w:rsid w:val="004873B8"/>
    <w:rsid w:val="00491FFE"/>
    <w:rsid w:val="004E1693"/>
    <w:rsid w:val="004E34F0"/>
    <w:rsid w:val="004E4877"/>
    <w:rsid w:val="004E6566"/>
    <w:rsid w:val="00513D2B"/>
    <w:rsid w:val="00515D9A"/>
    <w:rsid w:val="00517C60"/>
    <w:rsid w:val="00530E31"/>
    <w:rsid w:val="00534D23"/>
    <w:rsid w:val="005420AE"/>
    <w:rsid w:val="0055075A"/>
    <w:rsid w:val="005613C0"/>
    <w:rsid w:val="005629B2"/>
    <w:rsid w:val="00575F8F"/>
    <w:rsid w:val="005767B8"/>
    <w:rsid w:val="00577C5C"/>
    <w:rsid w:val="00597C50"/>
    <w:rsid w:val="005A1091"/>
    <w:rsid w:val="005A67BF"/>
    <w:rsid w:val="005C4375"/>
    <w:rsid w:val="005F4455"/>
    <w:rsid w:val="0060418C"/>
    <w:rsid w:val="00614A91"/>
    <w:rsid w:val="00627B3F"/>
    <w:rsid w:val="006343A8"/>
    <w:rsid w:val="00636361"/>
    <w:rsid w:val="006709AD"/>
    <w:rsid w:val="00676623"/>
    <w:rsid w:val="006851A5"/>
    <w:rsid w:val="00686EBF"/>
    <w:rsid w:val="00696656"/>
    <w:rsid w:val="006A6B23"/>
    <w:rsid w:val="006B145E"/>
    <w:rsid w:val="006B2FDC"/>
    <w:rsid w:val="006B5D30"/>
    <w:rsid w:val="006B745D"/>
    <w:rsid w:val="006D4FA6"/>
    <w:rsid w:val="006D532B"/>
    <w:rsid w:val="006D71A2"/>
    <w:rsid w:val="006E2571"/>
    <w:rsid w:val="006E419C"/>
    <w:rsid w:val="00716357"/>
    <w:rsid w:val="007333BF"/>
    <w:rsid w:val="00737B7A"/>
    <w:rsid w:val="00745030"/>
    <w:rsid w:val="00750545"/>
    <w:rsid w:val="007514BB"/>
    <w:rsid w:val="00764683"/>
    <w:rsid w:val="00773109"/>
    <w:rsid w:val="007E229E"/>
    <w:rsid w:val="00802855"/>
    <w:rsid w:val="008042DE"/>
    <w:rsid w:val="00804584"/>
    <w:rsid w:val="0080487F"/>
    <w:rsid w:val="00804C47"/>
    <w:rsid w:val="00806042"/>
    <w:rsid w:val="0081451B"/>
    <w:rsid w:val="008152F5"/>
    <w:rsid w:val="0081777D"/>
    <w:rsid w:val="00822814"/>
    <w:rsid w:val="00835EA3"/>
    <w:rsid w:val="008419E0"/>
    <w:rsid w:val="00841A1B"/>
    <w:rsid w:val="008431C1"/>
    <w:rsid w:val="00843F30"/>
    <w:rsid w:val="008605C3"/>
    <w:rsid w:val="00863FE3"/>
    <w:rsid w:val="008760C4"/>
    <w:rsid w:val="00886108"/>
    <w:rsid w:val="008A5E00"/>
    <w:rsid w:val="008A78D8"/>
    <w:rsid w:val="008B34EE"/>
    <w:rsid w:val="008B6537"/>
    <w:rsid w:val="008B68D6"/>
    <w:rsid w:val="008C2366"/>
    <w:rsid w:val="008C329F"/>
    <w:rsid w:val="008F1349"/>
    <w:rsid w:val="008F3A1E"/>
    <w:rsid w:val="008F50F2"/>
    <w:rsid w:val="00907B03"/>
    <w:rsid w:val="009156A6"/>
    <w:rsid w:val="009179A2"/>
    <w:rsid w:val="00924701"/>
    <w:rsid w:val="00933633"/>
    <w:rsid w:val="00947FCB"/>
    <w:rsid w:val="0095145B"/>
    <w:rsid w:val="00961871"/>
    <w:rsid w:val="00967524"/>
    <w:rsid w:val="00982148"/>
    <w:rsid w:val="00995BB9"/>
    <w:rsid w:val="009B3868"/>
    <w:rsid w:val="009B5B2B"/>
    <w:rsid w:val="009C7A47"/>
    <w:rsid w:val="009D6DEB"/>
    <w:rsid w:val="00A0134C"/>
    <w:rsid w:val="00A06C1E"/>
    <w:rsid w:val="00A12D90"/>
    <w:rsid w:val="00A140BA"/>
    <w:rsid w:val="00A26789"/>
    <w:rsid w:val="00A36B3D"/>
    <w:rsid w:val="00A41D26"/>
    <w:rsid w:val="00A62461"/>
    <w:rsid w:val="00A64AC2"/>
    <w:rsid w:val="00A7753C"/>
    <w:rsid w:val="00A86033"/>
    <w:rsid w:val="00AA35E0"/>
    <w:rsid w:val="00AB1B7E"/>
    <w:rsid w:val="00AB2397"/>
    <w:rsid w:val="00AB3A56"/>
    <w:rsid w:val="00AB6A03"/>
    <w:rsid w:val="00AC4659"/>
    <w:rsid w:val="00AC63AD"/>
    <w:rsid w:val="00AD19C3"/>
    <w:rsid w:val="00AD6BE5"/>
    <w:rsid w:val="00AF7506"/>
    <w:rsid w:val="00B02690"/>
    <w:rsid w:val="00B0514F"/>
    <w:rsid w:val="00B232D1"/>
    <w:rsid w:val="00B303AF"/>
    <w:rsid w:val="00B4556E"/>
    <w:rsid w:val="00B51D41"/>
    <w:rsid w:val="00B5414B"/>
    <w:rsid w:val="00B71E7E"/>
    <w:rsid w:val="00B7622A"/>
    <w:rsid w:val="00B80F34"/>
    <w:rsid w:val="00B81641"/>
    <w:rsid w:val="00B83D07"/>
    <w:rsid w:val="00B84ABF"/>
    <w:rsid w:val="00B85DE0"/>
    <w:rsid w:val="00B90793"/>
    <w:rsid w:val="00BA753F"/>
    <w:rsid w:val="00BB0B9D"/>
    <w:rsid w:val="00BD792E"/>
    <w:rsid w:val="00BE1CE3"/>
    <w:rsid w:val="00BE226D"/>
    <w:rsid w:val="00BF6664"/>
    <w:rsid w:val="00C00D2A"/>
    <w:rsid w:val="00C00E62"/>
    <w:rsid w:val="00C03838"/>
    <w:rsid w:val="00C11DD5"/>
    <w:rsid w:val="00C22313"/>
    <w:rsid w:val="00C564B4"/>
    <w:rsid w:val="00C64A4C"/>
    <w:rsid w:val="00C662FB"/>
    <w:rsid w:val="00C727D4"/>
    <w:rsid w:val="00C749E7"/>
    <w:rsid w:val="00C75E11"/>
    <w:rsid w:val="00C76996"/>
    <w:rsid w:val="00C83F9A"/>
    <w:rsid w:val="00CA0627"/>
    <w:rsid w:val="00CB0425"/>
    <w:rsid w:val="00CB364D"/>
    <w:rsid w:val="00CD1347"/>
    <w:rsid w:val="00CD3D4D"/>
    <w:rsid w:val="00CE2418"/>
    <w:rsid w:val="00CF174D"/>
    <w:rsid w:val="00CF563E"/>
    <w:rsid w:val="00CF65AA"/>
    <w:rsid w:val="00D1707D"/>
    <w:rsid w:val="00D210D9"/>
    <w:rsid w:val="00D21789"/>
    <w:rsid w:val="00D37479"/>
    <w:rsid w:val="00D37511"/>
    <w:rsid w:val="00D533B7"/>
    <w:rsid w:val="00D562E5"/>
    <w:rsid w:val="00D95543"/>
    <w:rsid w:val="00DB190E"/>
    <w:rsid w:val="00DB6D5F"/>
    <w:rsid w:val="00DB7B0C"/>
    <w:rsid w:val="00DD31B2"/>
    <w:rsid w:val="00DF237B"/>
    <w:rsid w:val="00DF6076"/>
    <w:rsid w:val="00E13CA9"/>
    <w:rsid w:val="00E174C2"/>
    <w:rsid w:val="00E315D1"/>
    <w:rsid w:val="00E37AB5"/>
    <w:rsid w:val="00E47CE3"/>
    <w:rsid w:val="00E57301"/>
    <w:rsid w:val="00E74BFC"/>
    <w:rsid w:val="00E75BBB"/>
    <w:rsid w:val="00E820D2"/>
    <w:rsid w:val="00E829AF"/>
    <w:rsid w:val="00E8692E"/>
    <w:rsid w:val="00E86E8D"/>
    <w:rsid w:val="00E970A4"/>
    <w:rsid w:val="00EB081A"/>
    <w:rsid w:val="00EB14DF"/>
    <w:rsid w:val="00EB62F7"/>
    <w:rsid w:val="00EC46F7"/>
    <w:rsid w:val="00ED02B0"/>
    <w:rsid w:val="00ED382C"/>
    <w:rsid w:val="00ED4A1D"/>
    <w:rsid w:val="00EE6A9D"/>
    <w:rsid w:val="00EE7002"/>
    <w:rsid w:val="00F3522B"/>
    <w:rsid w:val="00F42E19"/>
    <w:rsid w:val="00F4383E"/>
    <w:rsid w:val="00F43AB4"/>
    <w:rsid w:val="00F57F3A"/>
    <w:rsid w:val="00F61E66"/>
    <w:rsid w:val="00F626A6"/>
    <w:rsid w:val="00F708D8"/>
    <w:rsid w:val="00F744F2"/>
    <w:rsid w:val="00F762A5"/>
    <w:rsid w:val="00F92C95"/>
    <w:rsid w:val="00FC013B"/>
    <w:rsid w:val="00FC585C"/>
    <w:rsid w:val="00FE1DCC"/>
    <w:rsid w:val="00FE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83470A-E237-6B4B-8479-F4E8E20D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E3"/>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3E40E3"/>
    <w:pPr>
      <w:ind w:left="475" w:hanging="361"/>
      <w:outlineLvl w:val="0"/>
    </w:pPr>
    <w:rPr>
      <w:b/>
      <w:bCs/>
      <w:sz w:val="24"/>
      <w:szCs w:val="24"/>
      <w:lang w:val="en-US"/>
    </w:rPr>
  </w:style>
  <w:style w:type="paragraph" w:styleId="Heading2">
    <w:name w:val="heading 2"/>
    <w:basedOn w:val="Normal"/>
    <w:link w:val="Heading2Char"/>
    <w:uiPriority w:val="99"/>
    <w:qFormat/>
    <w:rsid w:val="003E40E3"/>
    <w:pPr>
      <w:ind w:left="115"/>
      <w:jc w:val="both"/>
      <w:outlineLvl w:val="1"/>
    </w:pPr>
    <w:rPr>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D2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34D23"/>
    <w:rPr>
      <w:rFonts w:ascii="Cambria" w:hAnsi="Cambria" w:cs="Times New Roman"/>
      <w:b/>
      <w:bCs/>
      <w:i/>
      <w:iCs/>
      <w:sz w:val="28"/>
      <w:szCs w:val="28"/>
      <w:lang w:eastAsia="en-US"/>
    </w:rPr>
  </w:style>
  <w:style w:type="paragraph" w:styleId="BodyText">
    <w:name w:val="Body Text"/>
    <w:basedOn w:val="Normal"/>
    <w:link w:val="BodyTextChar"/>
    <w:uiPriority w:val="99"/>
    <w:rsid w:val="003E40E3"/>
    <w:rPr>
      <w:sz w:val="24"/>
      <w:szCs w:val="24"/>
      <w:lang w:val="en-US"/>
    </w:rPr>
  </w:style>
  <w:style w:type="character" w:customStyle="1" w:styleId="BodyTextChar">
    <w:name w:val="Body Text Char"/>
    <w:basedOn w:val="DefaultParagraphFont"/>
    <w:link w:val="BodyText"/>
    <w:uiPriority w:val="99"/>
    <w:semiHidden/>
    <w:locked/>
    <w:rsid w:val="00534D23"/>
    <w:rPr>
      <w:rFonts w:ascii="Arial" w:hAnsi="Arial" w:cs="Arial"/>
      <w:lang w:eastAsia="en-US"/>
    </w:rPr>
  </w:style>
  <w:style w:type="paragraph" w:styleId="Title">
    <w:name w:val="Title"/>
    <w:basedOn w:val="Normal"/>
    <w:link w:val="TitleChar"/>
    <w:uiPriority w:val="99"/>
    <w:qFormat/>
    <w:rsid w:val="003E40E3"/>
    <w:pPr>
      <w:spacing w:before="90"/>
      <w:ind w:left="3534" w:right="3527"/>
      <w:jc w:val="center"/>
    </w:pPr>
    <w:rPr>
      <w:b/>
      <w:bCs/>
      <w:sz w:val="32"/>
      <w:szCs w:val="32"/>
      <w:lang w:val="en-US"/>
    </w:rPr>
  </w:style>
  <w:style w:type="character" w:customStyle="1" w:styleId="TitleChar">
    <w:name w:val="Title Char"/>
    <w:basedOn w:val="DefaultParagraphFont"/>
    <w:link w:val="Title"/>
    <w:uiPriority w:val="99"/>
    <w:locked/>
    <w:rsid w:val="00534D23"/>
    <w:rPr>
      <w:rFonts w:ascii="Cambria" w:hAnsi="Cambria" w:cs="Times New Roman"/>
      <w:b/>
      <w:bCs/>
      <w:kern w:val="28"/>
      <w:sz w:val="32"/>
      <w:szCs w:val="32"/>
      <w:lang w:eastAsia="en-US"/>
    </w:rPr>
  </w:style>
  <w:style w:type="paragraph" w:styleId="ListParagraph">
    <w:name w:val="List Paragraph"/>
    <w:basedOn w:val="Normal"/>
    <w:uiPriority w:val="99"/>
    <w:qFormat/>
    <w:rsid w:val="003E40E3"/>
    <w:pPr>
      <w:ind w:left="475" w:hanging="361"/>
    </w:pPr>
    <w:rPr>
      <w:lang w:val="en-US"/>
    </w:rPr>
  </w:style>
  <w:style w:type="paragraph" w:customStyle="1" w:styleId="TableParagraph">
    <w:name w:val="Table Paragraph"/>
    <w:basedOn w:val="Normal"/>
    <w:uiPriority w:val="99"/>
    <w:rsid w:val="003E40E3"/>
    <w:rPr>
      <w:lang w:val="en-US"/>
    </w:rPr>
  </w:style>
  <w:style w:type="character" w:styleId="Hyperlink">
    <w:name w:val="Hyperlink"/>
    <w:basedOn w:val="DefaultParagraphFont"/>
    <w:uiPriority w:val="99"/>
    <w:rsid w:val="00C00D2A"/>
    <w:rPr>
      <w:rFonts w:cs="Times New Roman"/>
      <w:color w:val="0000FF"/>
      <w:u w:val="single"/>
    </w:rPr>
  </w:style>
  <w:style w:type="character" w:customStyle="1" w:styleId="UnresolvedMention1">
    <w:name w:val="Unresolved Mention1"/>
    <w:basedOn w:val="DefaultParagraphFont"/>
    <w:uiPriority w:val="99"/>
    <w:semiHidden/>
    <w:rsid w:val="00C00D2A"/>
    <w:rPr>
      <w:rFonts w:cs="Times New Roman"/>
      <w:color w:val="605E5C"/>
      <w:shd w:val="clear" w:color="auto" w:fill="E1DFDD"/>
    </w:rPr>
  </w:style>
  <w:style w:type="paragraph" w:styleId="FootnoteText">
    <w:name w:val="footnote text"/>
    <w:basedOn w:val="Normal"/>
    <w:link w:val="FootnoteTextChar"/>
    <w:uiPriority w:val="99"/>
    <w:semiHidden/>
    <w:rsid w:val="00A62461"/>
    <w:rPr>
      <w:sz w:val="20"/>
      <w:szCs w:val="20"/>
    </w:rPr>
  </w:style>
  <w:style w:type="character" w:customStyle="1" w:styleId="FootnoteTextChar">
    <w:name w:val="Footnote Text Char"/>
    <w:basedOn w:val="DefaultParagraphFont"/>
    <w:link w:val="FootnoteText"/>
    <w:uiPriority w:val="99"/>
    <w:semiHidden/>
    <w:locked/>
    <w:rsid w:val="00A62461"/>
    <w:rPr>
      <w:rFonts w:ascii="Arial" w:hAnsi="Arial" w:cs="Arial"/>
      <w:sz w:val="20"/>
      <w:szCs w:val="20"/>
      <w:lang w:val="en-GB"/>
    </w:rPr>
  </w:style>
  <w:style w:type="character" w:styleId="FootnoteReference">
    <w:name w:val="footnote reference"/>
    <w:basedOn w:val="DefaultParagraphFont"/>
    <w:uiPriority w:val="99"/>
    <w:semiHidden/>
    <w:rsid w:val="00A62461"/>
    <w:rPr>
      <w:rFonts w:cs="Times New Roman"/>
      <w:vertAlign w:val="superscript"/>
    </w:rPr>
  </w:style>
  <w:style w:type="character" w:styleId="CommentReference">
    <w:name w:val="annotation reference"/>
    <w:basedOn w:val="DefaultParagraphFont"/>
    <w:uiPriority w:val="99"/>
    <w:semiHidden/>
    <w:rsid w:val="00D37479"/>
    <w:rPr>
      <w:rFonts w:cs="Times New Roman"/>
      <w:sz w:val="16"/>
      <w:szCs w:val="16"/>
    </w:rPr>
  </w:style>
  <w:style w:type="paragraph" w:styleId="CommentText">
    <w:name w:val="annotation text"/>
    <w:basedOn w:val="Normal"/>
    <w:link w:val="CommentTextChar"/>
    <w:uiPriority w:val="99"/>
    <w:semiHidden/>
    <w:rsid w:val="00D37479"/>
    <w:rPr>
      <w:sz w:val="20"/>
      <w:szCs w:val="20"/>
    </w:rPr>
  </w:style>
  <w:style w:type="character" w:customStyle="1" w:styleId="CommentTextChar">
    <w:name w:val="Comment Text Char"/>
    <w:basedOn w:val="DefaultParagraphFont"/>
    <w:link w:val="CommentText"/>
    <w:uiPriority w:val="99"/>
    <w:semiHidden/>
    <w:locked/>
    <w:rsid w:val="00D3747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D37479"/>
    <w:rPr>
      <w:b/>
      <w:bCs/>
    </w:rPr>
  </w:style>
  <w:style w:type="character" w:customStyle="1" w:styleId="CommentSubjectChar">
    <w:name w:val="Comment Subject Char"/>
    <w:basedOn w:val="CommentTextChar"/>
    <w:link w:val="CommentSubject"/>
    <w:uiPriority w:val="99"/>
    <w:semiHidden/>
    <w:locked/>
    <w:rsid w:val="00D37479"/>
    <w:rPr>
      <w:rFonts w:ascii="Arial" w:hAnsi="Arial" w:cs="Arial"/>
      <w:b/>
      <w:bCs/>
      <w:sz w:val="20"/>
      <w:szCs w:val="20"/>
      <w:lang w:val="en-GB"/>
    </w:rPr>
  </w:style>
  <w:style w:type="paragraph" w:styleId="BalloonText">
    <w:name w:val="Balloon Text"/>
    <w:basedOn w:val="Normal"/>
    <w:link w:val="BalloonTextChar"/>
    <w:uiPriority w:val="99"/>
    <w:semiHidden/>
    <w:rsid w:val="00D37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D37479"/>
    <w:rPr>
      <w:rFonts w:ascii="Times New Roman" w:hAnsi="Times New Roman" w:cs="Times New Roman"/>
      <w:sz w:val="18"/>
      <w:szCs w:val="18"/>
      <w:lang w:val="en-GB"/>
    </w:rPr>
  </w:style>
  <w:style w:type="character" w:styleId="FollowedHyperlink">
    <w:name w:val="FollowedHyperlink"/>
    <w:basedOn w:val="DefaultParagraphFont"/>
    <w:uiPriority w:val="99"/>
    <w:semiHidden/>
    <w:rsid w:val="00E74BFC"/>
    <w:rPr>
      <w:rFonts w:cs="Times New Roman"/>
      <w:color w:val="800080"/>
      <w:u w:val="single"/>
    </w:rPr>
  </w:style>
  <w:style w:type="paragraph" w:styleId="Header">
    <w:name w:val="header"/>
    <w:basedOn w:val="Normal"/>
    <w:link w:val="HeaderChar"/>
    <w:uiPriority w:val="99"/>
    <w:rsid w:val="0081777D"/>
    <w:pPr>
      <w:tabs>
        <w:tab w:val="center" w:pos="4153"/>
        <w:tab w:val="right" w:pos="8306"/>
      </w:tabs>
    </w:pPr>
  </w:style>
  <w:style w:type="character" w:customStyle="1" w:styleId="HeaderChar">
    <w:name w:val="Header Char"/>
    <w:basedOn w:val="DefaultParagraphFont"/>
    <w:link w:val="Header"/>
    <w:uiPriority w:val="99"/>
    <w:semiHidden/>
    <w:locked/>
    <w:rsid w:val="00534D23"/>
    <w:rPr>
      <w:rFonts w:ascii="Arial" w:hAnsi="Arial" w:cs="Arial"/>
      <w:lang w:eastAsia="en-US"/>
    </w:rPr>
  </w:style>
  <w:style w:type="paragraph" w:styleId="Footer">
    <w:name w:val="footer"/>
    <w:basedOn w:val="Normal"/>
    <w:link w:val="FooterChar"/>
    <w:uiPriority w:val="99"/>
    <w:rsid w:val="0081777D"/>
    <w:pPr>
      <w:tabs>
        <w:tab w:val="center" w:pos="4153"/>
        <w:tab w:val="right" w:pos="8306"/>
      </w:tabs>
    </w:pPr>
  </w:style>
  <w:style w:type="character" w:customStyle="1" w:styleId="FooterChar">
    <w:name w:val="Footer Char"/>
    <w:basedOn w:val="DefaultParagraphFont"/>
    <w:link w:val="Footer"/>
    <w:uiPriority w:val="99"/>
    <w:semiHidden/>
    <w:locked/>
    <w:rsid w:val="00534D2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z@if.org.u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f.org.uk/" TargetMode="External"/><Relationship Id="rId1" Type="http://schemas.openxmlformats.org/officeDocument/2006/relationships/hyperlink" Target="http://www.i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dc:title>
  <dc:subject/>
  <dc:creator>Microsoft Office User</dc:creator>
  <cp:keywords/>
  <dc:description/>
  <cp:lastModifiedBy>Anthony Williams</cp:lastModifiedBy>
  <cp:revision>2</cp:revision>
  <dcterms:created xsi:type="dcterms:W3CDTF">2020-09-22T10:06:00Z</dcterms:created>
  <dcterms:modified xsi:type="dcterms:W3CDTF">2020-09-22T10:06:00Z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